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ED" w:rsidRPr="005C7EB4" w:rsidRDefault="00902658" w:rsidP="00F067F8">
      <w:pPr>
        <w:ind w:left="-1276"/>
        <w:jc w:val="center"/>
        <w:rPr>
          <w:b/>
          <w:bCs/>
          <w:color w:val="215868" w:themeColor="accent5" w:themeShade="80"/>
          <w:sz w:val="24"/>
          <w:szCs w:val="24"/>
          <w:u w:val="single"/>
        </w:rPr>
      </w:pPr>
      <w:r w:rsidRPr="00902658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2"/>
          <w:szCs w:val="32"/>
          <w:u w:val="single"/>
        </w:rPr>
        <w:t>Récap. des travaux</w:t>
      </w:r>
      <w:r w:rsidRPr="00546FAC">
        <w:rPr>
          <w:rFonts w:asciiTheme="majorBidi" w:hAnsiTheme="majorBidi" w:cstheme="majorBidi"/>
          <w:i/>
          <w:iCs/>
          <w:color w:val="215868" w:themeColor="accent5" w:themeShade="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2658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2"/>
          <w:szCs w:val="32"/>
          <w:u w:val="single"/>
        </w:rPr>
        <w:t xml:space="preserve">des commissions </w:t>
      </w:r>
      <w:r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2"/>
          <w:szCs w:val="32"/>
          <w:u w:val="single"/>
        </w:rPr>
        <w:t>relative à</w:t>
      </w:r>
      <w:r w:rsidRPr="00902658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32"/>
          <w:szCs w:val="32"/>
          <w:u w:val="single"/>
        </w:rPr>
        <w:t xml:space="preserve"> la préparation des points inscrits à l’ordre du jour au titre de la session ordinaire du moi d'avril 2015</w:t>
      </w:r>
    </w:p>
    <w:tbl>
      <w:tblPr>
        <w:tblStyle w:val="Grilledutableau"/>
        <w:tblW w:w="15082" w:type="dxa"/>
        <w:tblInd w:w="-1168" w:type="dxa"/>
        <w:tblLook w:val="04A0" w:firstRow="1" w:lastRow="0" w:firstColumn="1" w:lastColumn="0" w:noHBand="0" w:noVBand="1"/>
      </w:tblPr>
      <w:tblGrid>
        <w:gridCol w:w="1799"/>
        <w:gridCol w:w="5397"/>
        <w:gridCol w:w="4565"/>
        <w:gridCol w:w="3321"/>
      </w:tblGrid>
      <w:tr w:rsidR="000433A8" w:rsidTr="009C40F1">
        <w:trPr>
          <w:trHeight w:val="543"/>
        </w:trPr>
        <w:tc>
          <w:tcPr>
            <w:tcW w:w="1799" w:type="dxa"/>
            <w:shd w:val="clear" w:color="auto" w:fill="17365D" w:themeFill="text2" w:themeFillShade="BF"/>
          </w:tcPr>
          <w:p w:rsidR="000433A8" w:rsidRPr="0094366E" w:rsidRDefault="000433A8" w:rsidP="002E22F5">
            <w:pPr>
              <w:jc w:val="center"/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F70CE"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>Commission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 xml:space="preserve"> compétente</w:t>
            </w:r>
          </w:p>
        </w:tc>
        <w:tc>
          <w:tcPr>
            <w:tcW w:w="5397" w:type="dxa"/>
            <w:shd w:val="clear" w:color="auto" w:fill="17365D" w:themeFill="text2" w:themeFillShade="BF"/>
            <w:vAlign w:val="center"/>
          </w:tcPr>
          <w:p w:rsidR="000433A8" w:rsidRPr="0094366E" w:rsidRDefault="000433A8" w:rsidP="004759D3">
            <w:pPr>
              <w:jc w:val="center"/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4366E"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oint</w:t>
            </w:r>
          </w:p>
        </w:tc>
        <w:tc>
          <w:tcPr>
            <w:tcW w:w="4565" w:type="dxa"/>
            <w:shd w:val="clear" w:color="auto" w:fill="17365D" w:themeFill="text2" w:themeFillShade="BF"/>
            <w:vAlign w:val="center"/>
          </w:tcPr>
          <w:p w:rsidR="000433A8" w:rsidRPr="0094366E" w:rsidRDefault="000433A8" w:rsidP="004759D3">
            <w:pPr>
              <w:jc w:val="center"/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de la commission</w:t>
            </w:r>
          </w:p>
        </w:tc>
        <w:tc>
          <w:tcPr>
            <w:tcW w:w="3321" w:type="dxa"/>
            <w:shd w:val="clear" w:color="auto" w:fill="17365D" w:themeFill="text2" w:themeFillShade="BF"/>
            <w:vAlign w:val="center"/>
          </w:tcPr>
          <w:p w:rsidR="000433A8" w:rsidRPr="0094366E" w:rsidRDefault="000433A8" w:rsidP="004759D3">
            <w:pPr>
              <w:jc w:val="center"/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du conseil</w:t>
            </w:r>
          </w:p>
        </w:tc>
      </w:tr>
      <w:tr w:rsidR="005F6692" w:rsidTr="009C40F1">
        <w:trPr>
          <w:trHeight w:val="770"/>
        </w:trPr>
        <w:tc>
          <w:tcPr>
            <w:tcW w:w="1799" w:type="dxa"/>
            <w:vMerge w:val="restart"/>
            <w:shd w:val="clear" w:color="auto" w:fill="DBE5F1" w:themeFill="accent1" w:themeFillTint="33"/>
            <w:vAlign w:val="center"/>
          </w:tcPr>
          <w:p w:rsidR="005F6692" w:rsidRPr="00365BDF" w:rsidRDefault="005F6692" w:rsidP="002E22F5">
            <w:pPr>
              <w:autoSpaceDE w:val="0"/>
              <w:autoSpaceDN w:val="0"/>
              <w:adjustRightInd w:val="0"/>
              <w:ind w:left="3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 la</w:t>
            </w:r>
          </w:p>
          <w:p w:rsidR="005F6692" w:rsidRPr="00365BDF" w:rsidRDefault="005F6692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planification, des affaires</w:t>
            </w:r>
          </w:p>
          <w:p w:rsidR="005F6692" w:rsidRDefault="005F6692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économiques, du budget et des finances</w:t>
            </w:r>
          </w:p>
        </w:tc>
        <w:tc>
          <w:tcPr>
            <w:tcW w:w="5397" w:type="dxa"/>
            <w:vAlign w:val="center"/>
          </w:tcPr>
          <w:p w:rsidR="005F6692" w:rsidRDefault="005F6692" w:rsidP="006F238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2380">
              <w:rPr>
                <w:rFonts w:asciiTheme="majorBidi" w:hAnsiTheme="majorBidi" w:cstheme="majorBidi"/>
                <w:sz w:val="24"/>
                <w:szCs w:val="24"/>
              </w:rPr>
              <w:t xml:space="preserve">Aménagement </w:t>
            </w:r>
            <w:r w:rsidR="00A96DBA">
              <w:rPr>
                <w:rFonts w:asciiTheme="majorBidi" w:hAnsiTheme="majorBidi" w:cstheme="majorBidi"/>
                <w:sz w:val="24"/>
                <w:szCs w:val="24"/>
              </w:rPr>
              <w:t>d’un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parking </w:t>
            </w:r>
            <w:r w:rsidR="00A96D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 Arset Lemâach.</w:t>
            </w:r>
          </w:p>
          <w:p w:rsidR="005F6692" w:rsidRPr="00B178DD" w:rsidRDefault="005F6692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5F6692" w:rsidRDefault="005C7EB4" w:rsidP="006F2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Elle</w:t>
            </w:r>
            <w:r w:rsidR="005F6692">
              <w:rPr>
                <w:rFonts w:asciiTheme="majorBidi" w:hAnsiTheme="majorBidi" w:cstheme="majorBidi"/>
                <w:sz w:val="24"/>
                <w:szCs w:val="24"/>
              </w:rPr>
              <w:t xml:space="preserve"> approuve </w:t>
            </w:r>
            <w:r w:rsidR="006F2380">
              <w:rPr>
                <w:rFonts w:asciiTheme="majorBidi" w:hAnsiTheme="majorBidi" w:cstheme="majorBidi"/>
                <w:sz w:val="24"/>
                <w:szCs w:val="24"/>
              </w:rPr>
              <w:t>la création de ce nouveau service pour en projection d’impact positif sur la fluidité de la circulation</w:t>
            </w:r>
          </w:p>
        </w:tc>
        <w:tc>
          <w:tcPr>
            <w:tcW w:w="3321" w:type="dxa"/>
            <w:vAlign w:val="center"/>
          </w:tcPr>
          <w:p w:rsidR="005F6692" w:rsidRDefault="005F6692" w:rsidP="006F2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Accord et approbation à la majorité des élus </w:t>
            </w:r>
            <w:r w:rsidR="006F2380">
              <w:rPr>
                <w:rFonts w:asciiTheme="majorBidi" w:hAnsiTheme="majorBidi" w:cstheme="majorBidi"/>
                <w:sz w:val="24"/>
                <w:szCs w:val="24"/>
              </w:rPr>
              <w:t xml:space="preserve">présents </w:t>
            </w:r>
          </w:p>
        </w:tc>
      </w:tr>
      <w:tr w:rsidR="005F6692" w:rsidTr="009C40F1">
        <w:trPr>
          <w:trHeight w:val="137"/>
        </w:trPr>
        <w:tc>
          <w:tcPr>
            <w:tcW w:w="1799" w:type="dxa"/>
            <w:vMerge/>
            <w:shd w:val="clear" w:color="auto" w:fill="DBE5F1" w:themeFill="accent1" w:themeFillTint="33"/>
            <w:vAlign w:val="center"/>
          </w:tcPr>
          <w:p w:rsidR="005F6692" w:rsidRDefault="005F6692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5F6692" w:rsidRDefault="005F6692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4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="003976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Virement de crédits de 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lques articles du budget de  la 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Commune Urbaine de Marrakech au titre de l’exercice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  <w:p w:rsidR="005F6692" w:rsidRPr="009C1A07" w:rsidRDefault="005F6692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5F6692" w:rsidRDefault="005F6692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  <w:tc>
          <w:tcPr>
            <w:tcW w:w="3321" w:type="dxa"/>
            <w:vAlign w:val="center"/>
          </w:tcPr>
          <w:p w:rsidR="005F6692" w:rsidRDefault="00A96DBA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</w:tr>
      <w:tr w:rsidR="00A96DBA" w:rsidTr="009C40F1">
        <w:trPr>
          <w:trHeight w:val="596"/>
        </w:trPr>
        <w:tc>
          <w:tcPr>
            <w:tcW w:w="1799" w:type="dxa"/>
            <w:vMerge w:val="restart"/>
            <w:shd w:val="clear" w:color="auto" w:fill="DBE5F1" w:themeFill="accent1" w:themeFillTint="33"/>
            <w:vAlign w:val="center"/>
          </w:tcPr>
          <w:p w:rsidR="00A96DBA" w:rsidRPr="00365BDF" w:rsidRDefault="00A96DBA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des services publics</w:t>
            </w:r>
          </w:p>
        </w:tc>
        <w:tc>
          <w:tcPr>
            <w:tcW w:w="5397" w:type="dxa"/>
            <w:vAlign w:val="center"/>
          </w:tcPr>
          <w:p w:rsidR="00A96DBA" w:rsidRDefault="00A96DBA" w:rsidP="006F2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2380">
              <w:rPr>
                <w:rFonts w:asciiTheme="majorBidi" w:hAnsiTheme="majorBidi" w:cstheme="majorBidi"/>
                <w:sz w:val="24"/>
                <w:szCs w:val="24"/>
              </w:rPr>
              <w:t xml:space="preserve">Définition du mode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gestion de l'espace d'expositions à Ghabat Chabab</w:t>
            </w:r>
          </w:p>
          <w:p w:rsidR="00A96DBA" w:rsidRPr="009C1A07" w:rsidRDefault="00A96DBA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  <w:tc>
          <w:tcPr>
            <w:tcW w:w="3321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</w:tr>
      <w:tr w:rsidR="00A96DBA" w:rsidTr="009C40F1">
        <w:trPr>
          <w:trHeight w:val="137"/>
        </w:trPr>
        <w:tc>
          <w:tcPr>
            <w:tcW w:w="1799" w:type="dxa"/>
            <w:vMerge/>
            <w:shd w:val="clear" w:color="auto" w:fill="DBE5F1" w:themeFill="accent1" w:themeFillTint="33"/>
            <w:vAlign w:val="center"/>
          </w:tcPr>
          <w:p w:rsidR="00A96DBA" w:rsidRPr="00365BDF" w:rsidRDefault="00A96DB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A96DBA" w:rsidRDefault="00A96DBA" w:rsidP="006F2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2380">
              <w:rPr>
                <w:rFonts w:asciiTheme="majorBidi" w:hAnsiTheme="majorBidi" w:cstheme="majorBidi"/>
                <w:sz w:val="24"/>
                <w:szCs w:val="24"/>
              </w:rPr>
              <w:t xml:space="preserve">définition du mode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gestion de l'espace de loisir pour les enfants à Ghabat Chabab</w:t>
            </w:r>
          </w:p>
          <w:p w:rsidR="00A96DBA" w:rsidRPr="009C1A07" w:rsidRDefault="00A96DBA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  <w:tc>
          <w:tcPr>
            <w:tcW w:w="3321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</w:tr>
      <w:tr w:rsidR="00A96DBA" w:rsidTr="009C40F1">
        <w:trPr>
          <w:trHeight w:val="1383"/>
        </w:trPr>
        <w:tc>
          <w:tcPr>
            <w:tcW w:w="1799" w:type="dxa"/>
            <w:vMerge w:val="restart"/>
            <w:shd w:val="clear" w:color="auto" w:fill="DBE5F1" w:themeFill="accent1" w:themeFillTint="33"/>
            <w:vAlign w:val="center"/>
          </w:tcPr>
          <w:p w:rsidR="00A96DBA" w:rsidRPr="00365BDF" w:rsidRDefault="00A96DBA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du</w:t>
            </w:r>
          </w:p>
          <w:p w:rsidR="00A96DBA" w:rsidRPr="00365BDF" w:rsidRDefault="00A96DBA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développement humain, des affaires</w:t>
            </w:r>
          </w:p>
          <w:p w:rsidR="00A96DBA" w:rsidRPr="00365BDF" w:rsidRDefault="00A96DBA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sociales, culturelles et sportives</w:t>
            </w:r>
          </w:p>
          <w:p w:rsidR="00A96DBA" w:rsidRPr="00365BDF" w:rsidRDefault="00A96DB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A96DBA" w:rsidRDefault="00A96DBA" w:rsidP="00251B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5.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Projet de convention du partenariat et de coopération entre le </w:t>
            </w:r>
            <w:r w:rsidRPr="006830E6">
              <w:rPr>
                <w:rFonts w:asciiTheme="majorBidi" w:hAnsiTheme="majorBidi" w:cstheme="majorBidi"/>
                <w:sz w:val="24"/>
                <w:szCs w:val="24"/>
              </w:rPr>
              <w:t>Conseil Communal de 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Conseils des Arrondissements et la Délégation Régionale du Sport et Jeunesse de Marrakech pour l'animation des équipements sportifs.</w:t>
            </w:r>
          </w:p>
          <w:p w:rsidR="00A96DBA" w:rsidRPr="009C1A07" w:rsidRDefault="00A96DBA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  <w:tc>
          <w:tcPr>
            <w:tcW w:w="3321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</w:tr>
      <w:tr w:rsidR="00A96DBA" w:rsidTr="009C40F1">
        <w:trPr>
          <w:trHeight w:val="137"/>
        </w:trPr>
        <w:tc>
          <w:tcPr>
            <w:tcW w:w="1799" w:type="dxa"/>
            <w:vMerge/>
            <w:shd w:val="clear" w:color="auto" w:fill="DBE5F1" w:themeFill="accent1" w:themeFillTint="33"/>
            <w:vAlign w:val="center"/>
          </w:tcPr>
          <w:p w:rsidR="00A96DBA" w:rsidRPr="00365BDF" w:rsidRDefault="00A96DB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A96DBA" w:rsidRDefault="00A96DBA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Projet de convention du partenariat entre le </w:t>
            </w:r>
            <w:r w:rsidRPr="006830E6">
              <w:rPr>
                <w:rFonts w:asciiTheme="majorBidi" w:hAnsiTheme="majorBidi" w:cstheme="majorBidi"/>
                <w:sz w:val="24"/>
                <w:szCs w:val="24"/>
              </w:rPr>
              <w:t>Conseil Communal de 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la Ligue du Sud de Gymnastique pour l’animation de  la sale de gymnastique sise espace du citoyen M’hamid.</w:t>
            </w:r>
          </w:p>
          <w:p w:rsidR="00A96DBA" w:rsidRPr="009C1A07" w:rsidRDefault="00A96DBA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  <w:tc>
          <w:tcPr>
            <w:tcW w:w="3321" w:type="dxa"/>
            <w:vAlign w:val="center"/>
          </w:tcPr>
          <w:p w:rsidR="00A96DBA" w:rsidRDefault="00A96DBA" w:rsidP="006212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Point non débattu</w:t>
            </w:r>
          </w:p>
        </w:tc>
      </w:tr>
      <w:tr w:rsidR="005F6692" w:rsidTr="009C40F1">
        <w:trPr>
          <w:trHeight w:val="1314"/>
        </w:trPr>
        <w:tc>
          <w:tcPr>
            <w:tcW w:w="1799" w:type="dxa"/>
            <w:vMerge w:val="restart"/>
            <w:shd w:val="clear" w:color="auto" w:fill="DBE5F1" w:themeFill="accent1" w:themeFillTint="33"/>
            <w:vAlign w:val="center"/>
          </w:tcPr>
          <w:p w:rsidR="005F6692" w:rsidRPr="00365BDF" w:rsidRDefault="0029571F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Com. </w:t>
            </w:r>
            <w:r w:rsidR="005F6692"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chargée des services publics</w:t>
            </w:r>
          </w:p>
          <w:p w:rsidR="005F6692" w:rsidRPr="00365BDF" w:rsidRDefault="005F6692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5F6692" w:rsidRPr="006830E6" w:rsidRDefault="005F6692" w:rsidP="009C40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étude de la procédure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gestion délégué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piscines municipales.</w:t>
            </w:r>
          </w:p>
          <w:p w:rsidR="005F6692" w:rsidRPr="009C1A07" w:rsidRDefault="005F6692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565" w:type="dxa"/>
            <w:vAlign w:val="center"/>
          </w:tcPr>
          <w:p w:rsidR="005F6692" w:rsidRPr="009570E2" w:rsidRDefault="005C7EB4" w:rsidP="009C40F1">
            <w:pPr>
              <w:rPr>
                <w:rFonts w:asciiTheme="majorBidi" w:hAnsiTheme="majorBidi" w:cstheme="majorBidi"/>
                <w:sz w:val="8"/>
                <w:szCs w:val="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rejette la procédure de gestion déléguée et opte pour une gestion à travers un cahier des charges dont les clauses seront soumises à la concertation au cours de la prochaine session communale </w:t>
            </w:r>
          </w:p>
        </w:tc>
        <w:tc>
          <w:tcPr>
            <w:tcW w:w="3321" w:type="dxa"/>
            <w:vAlign w:val="center"/>
          </w:tcPr>
          <w:p w:rsidR="005F6692" w:rsidRDefault="005F6692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 conseil décide 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report pour approfondissement du débat et soumission du CPS à l’étude au niveau des arrondissements</w:t>
            </w:r>
          </w:p>
        </w:tc>
      </w:tr>
      <w:tr w:rsidR="005F6692" w:rsidTr="009C40F1">
        <w:trPr>
          <w:trHeight w:val="137"/>
        </w:trPr>
        <w:tc>
          <w:tcPr>
            <w:tcW w:w="1799" w:type="dxa"/>
            <w:vMerge/>
            <w:shd w:val="clear" w:color="auto" w:fill="DBE5F1" w:themeFill="accent1" w:themeFillTint="33"/>
          </w:tcPr>
          <w:p w:rsidR="005F6692" w:rsidRDefault="005F6692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5F6692" w:rsidRPr="0016491D" w:rsidRDefault="005F6692" w:rsidP="009C40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Etat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du service du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 transport touristique, service délégué  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société Alsa Grupo et Julia Travel.</w:t>
            </w:r>
          </w:p>
          <w:p w:rsidR="005F6692" w:rsidRPr="009C1A07" w:rsidRDefault="005F6692" w:rsidP="002E22F5">
            <w:pPr>
              <w:pStyle w:val="Paragraphedeliste"/>
              <w:ind w:left="0"/>
              <w:rPr>
                <w:rFonts w:asciiTheme="majorBidi" w:hAnsiTheme="majorBidi" w:cstheme="majorBidi"/>
                <w:b/>
                <w:sz w:val="8"/>
                <w:szCs w:val="8"/>
              </w:rPr>
            </w:pPr>
          </w:p>
        </w:tc>
        <w:tc>
          <w:tcPr>
            <w:tcW w:w="4565" w:type="dxa"/>
          </w:tcPr>
          <w:p w:rsidR="005F6692" w:rsidRDefault="005C7EB4" w:rsidP="009C40F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5F6692">
              <w:rPr>
                <w:rFonts w:asciiTheme="majorBidi" w:hAnsiTheme="majorBidi" w:cstheme="majorBidi"/>
                <w:sz w:val="24"/>
                <w:szCs w:val="24"/>
              </w:rPr>
              <w:t>adopte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5F6692" w:rsidRDefault="005F6692" w:rsidP="009C40F1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continuité de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prestation</w:t>
            </w:r>
            <w:r w:rsidR="009C40F1">
              <w:rPr>
                <w:rFonts w:asciiTheme="majorBidi" w:hAnsiTheme="majorBidi" w:cstheme="majorBidi"/>
                <w:sz w:val="24"/>
                <w:szCs w:val="24"/>
              </w:rPr>
              <w:t xml:space="preserve">s  fournies par Alsa Grupo et Julia Travel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F6692" w:rsidRDefault="005F6692" w:rsidP="002E22F5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Possibilité de révision de CPS</w:t>
            </w:r>
          </w:p>
          <w:p w:rsidR="005F6692" w:rsidRPr="00F72481" w:rsidRDefault="005F6692" w:rsidP="008B5EA0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Publicité de l’AO sans changement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destinations et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itinéraires</w:t>
            </w:r>
          </w:p>
        </w:tc>
        <w:tc>
          <w:tcPr>
            <w:tcW w:w="3321" w:type="dxa"/>
          </w:tcPr>
          <w:p w:rsidR="005F6692" w:rsidRDefault="005F6692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Adoption à la majorité pour la continuité du service  avec AO sans changement des parcours historiques et touristiques</w:t>
            </w:r>
          </w:p>
        </w:tc>
      </w:tr>
      <w:tr w:rsidR="008B5EA0" w:rsidTr="009C40F1">
        <w:trPr>
          <w:trHeight w:val="137"/>
        </w:trPr>
        <w:tc>
          <w:tcPr>
            <w:tcW w:w="1799" w:type="dxa"/>
            <w:shd w:val="clear" w:color="auto" w:fill="DBE5F1" w:themeFill="accent1" w:themeFillTint="33"/>
          </w:tcPr>
          <w:p w:rsidR="008B5EA0" w:rsidRDefault="008B5EA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5EA0" w:rsidRDefault="008B5EA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7" w:type="dxa"/>
            <w:vAlign w:val="center"/>
          </w:tcPr>
          <w:p w:rsidR="008B5EA0" w:rsidRDefault="008B5EA0" w:rsidP="009C40F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8B5EA0" w:rsidRDefault="008B5EA0" w:rsidP="009C40F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1" w:type="dxa"/>
          </w:tcPr>
          <w:p w:rsidR="008B5EA0" w:rsidRDefault="008B5EA0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6692" w:rsidRDefault="005F6692" w:rsidP="002E22F5">
      <w:pPr>
        <w:pStyle w:val="Paragraphedeliste"/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4111"/>
        <w:gridCol w:w="4819"/>
      </w:tblGrid>
      <w:tr w:rsidR="00A12D06" w:rsidRPr="0094366E" w:rsidTr="00F91092"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17365D" w:themeFill="text2" w:themeFillShade="BF"/>
          </w:tcPr>
          <w:p w:rsidR="000433A8" w:rsidRPr="0094366E" w:rsidRDefault="000433A8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F70CE"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>Commission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 xml:space="preserve"> compétente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shd w:val="clear" w:color="auto" w:fill="17365D" w:themeFill="text2" w:themeFillShade="BF"/>
            <w:vAlign w:val="center"/>
          </w:tcPr>
          <w:p w:rsidR="000433A8" w:rsidRPr="0094366E" w:rsidRDefault="000433A8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4366E"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oint</w:t>
            </w: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17365D" w:themeFill="text2" w:themeFillShade="BF"/>
            <w:vAlign w:val="center"/>
          </w:tcPr>
          <w:p w:rsidR="000433A8" w:rsidRPr="0094366E" w:rsidRDefault="000433A8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de la commission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:rsidR="000433A8" w:rsidRPr="0094366E" w:rsidRDefault="000433A8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du conseil</w:t>
            </w:r>
          </w:p>
        </w:tc>
      </w:tr>
      <w:tr w:rsidR="000433A8" w:rsidTr="00F91092">
        <w:tc>
          <w:tcPr>
            <w:tcW w:w="1843" w:type="dxa"/>
            <w:shd w:val="clear" w:color="auto" w:fill="DBE5F1" w:themeFill="accent1" w:themeFillTint="33"/>
            <w:vAlign w:val="center"/>
          </w:tcPr>
          <w:p w:rsidR="000433A8" w:rsidRPr="00365BDF" w:rsidRDefault="0029571F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Com. </w:t>
            </w:r>
            <w:r w:rsidR="005F6692"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chargée des services publics</w:t>
            </w:r>
          </w:p>
        </w:tc>
        <w:tc>
          <w:tcPr>
            <w:tcW w:w="4678" w:type="dxa"/>
            <w:vAlign w:val="center"/>
          </w:tcPr>
          <w:p w:rsidR="000433A8" w:rsidRDefault="000433A8" w:rsidP="008B5EA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venant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au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cahier des charges relatif à la propreté et la collecte des ordures.</w:t>
            </w:r>
          </w:p>
          <w:p w:rsidR="000433A8" w:rsidRPr="009C1A07" w:rsidRDefault="000433A8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0433A8" w:rsidRDefault="005C7EB4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0433A8">
              <w:rPr>
                <w:rFonts w:asciiTheme="majorBidi" w:hAnsiTheme="majorBidi" w:cstheme="majorBidi"/>
                <w:sz w:val="24"/>
                <w:szCs w:val="24"/>
              </w:rPr>
              <w:t>approuve le point sur la base des disposition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s de la </w:t>
            </w:r>
            <w:r w:rsidR="00BB794D">
              <w:rPr>
                <w:rFonts w:asciiTheme="majorBidi" w:hAnsiTheme="majorBidi" w:cstheme="majorBidi"/>
                <w:sz w:val="24"/>
                <w:szCs w:val="24"/>
              </w:rPr>
              <w:t xml:space="preserve"> circulaire ministériel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0433A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0433A8" w:rsidRDefault="000433A8" w:rsidP="008B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Accord et adoption à la majorité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quant à l’adoption de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procédure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règlement des différends à l’amiable » en référence à la </w:t>
            </w:r>
            <w:r w:rsidR="00BB794D">
              <w:rPr>
                <w:rFonts w:asciiTheme="majorBidi" w:hAnsiTheme="majorBidi" w:cstheme="majorBidi"/>
                <w:sz w:val="24"/>
                <w:szCs w:val="24"/>
              </w:rPr>
              <w:t xml:space="preserve"> circulaire ministériel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n° : 17495 du 28/10/201</w:t>
            </w:r>
            <w:r w:rsidR="005C7EB4">
              <w:rPr>
                <w:rFonts w:asciiTheme="majorBidi" w:hAnsiTheme="majorBidi" w:cstheme="majorBidi"/>
                <w:sz w:val="24"/>
                <w:szCs w:val="24"/>
              </w:rPr>
              <w:t>4 et selon l’avenant</w:t>
            </w:r>
            <w:r w:rsidR="004504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751D0">
              <w:rPr>
                <w:rFonts w:asciiTheme="majorBidi" w:hAnsiTheme="majorBidi" w:cstheme="majorBidi"/>
                <w:sz w:val="24"/>
                <w:szCs w:val="24"/>
              </w:rPr>
              <w:t>type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objet de l’envoi n° :4951 du 9/5/2015.</w:t>
            </w:r>
          </w:p>
        </w:tc>
      </w:tr>
      <w:tr w:rsidR="0029571F" w:rsidTr="00F91092"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4B1F2B" w:rsidRDefault="004B1F2B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4B1F2B" w:rsidRDefault="004B1F2B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9571F" w:rsidRPr="00365BDF" w:rsidRDefault="0029571F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 la</w:t>
            </w:r>
          </w:p>
          <w:p w:rsidR="0029571F" w:rsidRPr="00365BDF" w:rsidRDefault="0029571F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planification, des affaires</w:t>
            </w:r>
          </w:p>
          <w:p w:rsidR="0029571F" w:rsidRPr="00365BDF" w:rsidRDefault="0029571F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économiques, du budget et des finances</w:t>
            </w:r>
          </w:p>
        </w:tc>
        <w:tc>
          <w:tcPr>
            <w:tcW w:w="4678" w:type="dxa"/>
            <w:vAlign w:val="center"/>
          </w:tcPr>
          <w:p w:rsidR="0029571F" w:rsidRPr="009B0E0D" w:rsidRDefault="0029571F" w:rsidP="008B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9B0E0D">
              <w:rPr>
                <w:b/>
              </w:rPr>
              <w:t>.</w:t>
            </w:r>
            <w:r w:rsidRPr="009B0E0D">
              <w:t xml:space="preserve"> </w:t>
            </w:r>
            <w:r w:rsidR="008B5EA0">
              <w:t xml:space="preserve">Mise en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ocation </w:t>
            </w:r>
            <w:r w:rsidR="00A96DB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définition de 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valeur locative 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des locaux commerciaux sis au marché  communal "Iziki" 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mis à la disposition des commerçants délocalisés </w:t>
            </w:r>
          </w:p>
          <w:p w:rsidR="0029571F" w:rsidRPr="009C1A07" w:rsidRDefault="0029571F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9571F" w:rsidRDefault="005C7EB4" w:rsidP="008B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recommande la nécessité d’adopter le point 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à condition que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 les services communaux concernés aient reçue les montants propo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>sés par la commission chargée de l’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>évaluation</w:t>
            </w:r>
            <w:r w:rsidR="0045047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29571F" w:rsidRDefault="0029571F" w:rsidP="008B5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Accord à la majorité de l'objet du point</w:t>
            </w:r>
            <w:r w:rsidR="008B5EA0">
              <w:rPr>
                <w:rFonts w:asciiTheme="majorBidi" w:hAnsiTheme="majorBidi" w:cstheme="majorBidi"/>
                <w:sz w:val="24"/>
                <w:szCs w:val="24"/>
              </w:rPr>
              <w:t xml:space="preserve"> et adoption de la valeur locative arrêtée par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 la commission chargée d'évaluation </w:t>
            </w:r>
          </w:p>
        </w:tc>
      </w:tr>
      <w:tr w:rsidR="0029571F" w:rsidTr="00F91092">
        <w:tc>
          <w:tcPr>
            <w:tcW w:w="1843" w:type="dxa"/>
            <w:vMerge/>
            <w:shd w:val="clear" w:color="auto" w:fill="DBE5F1" w:themeFill="accent1" w:themeFillTint="33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571F" w:rsidRPr="009B0E0D" w:rsidRDefault="0029571F" w:rsidP="004B1F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9B0E0D">
              <w:rPr>
                <w:b/>
              </w:rPr>
              <w:t>.</w:t>
            </w:r>
            <w:r w:rsidRPr="009B0E0D">
              <w:t xml:space="preserve"> </w:t>
            </w:r>
            <w:r w:rsidR="004B1F2B">
              <w:t xml:space="preserve">Mise en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ocation </w:t>
            </w:r>
            <w:r w:rsidR="00A96DBA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définition de 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valeur</w:t>
            </w:r>
            <w:r w:rsidR="000A3A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locative 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>des locaux commerciaux sis au marché  communal 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Les Portes de Marrakech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" 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mis à la disposition des commerçants délocalisés </w:t>
            </w:r>
          </w:p>
          <w:p w:rsidR="0029571F" w:rsidRPr="009C1A07" w:rsidRDefault="0029571F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  <w:vMerge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Report car la commission </w:t>
            </w:r>
            <w:r w:rsidR="00FE3520">
              <w:rPr>
                <w:rFonts w:asciiTheme="majorBidi" w:hAnsiTheme="majorBidi" w:cstheme="majorBidi"/>
                <w:sz w:val="24"/>
                <w:szCs w:val="24"/>
              </w:rPr>
              <w:t>chargée d'évaluation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s'est pas encore réunie</w:t>
            </w:r>
          </w:p>
        </w:tc>
      </w:tr>
      <w:tr w:rsidR="0029571F" w:rsidTr="00F91092">
        <w:tc>
          <w:tcPr>
            <w:tcW w:w="1843" w:type="dxa"/>
            <w:vMerge/>
            <w:shd w:val="clear" w:color="auto" w:fill="DBE5F1" w:themeFill="accent1" w:themeFillTint="33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571F" w:rsidRPr="009B0E0D" w:rsidRDefault="0029571F" w:rsidP="004B1F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9B0E0D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ahier des charges relatif à la location des deux cafés et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des 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deux locaux commerciaux sis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au niveau des 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façades du marché Iziki.</w:t>
            </w:r>
          </w:p>
          <w:p w:rsidR="0029571F" w:rsidRPr="009C1A07" w:rsidRDefault="0029571F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</w:tcPr>
          <w:p w:rsidR="0029571F" w:rsidRDefault="005C7EB4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>donne son accord à propos d</w:t>
            </w:r>
            <w:r w:rsidR="00450478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 CPS conformément aux deux propositions relatives au montant d'exploitation indiqué au </w:t>
            </w:r>
            <w:r w:rsidR="00BB794D">
              <w:rPr>
                <w:rFonts w:asciiTheme="majorBidi" w:hAnsiTheme="majorBidi" w:cstheme="majorBidi"/>
                <w:sz w:val="24"/>
                <w:szCs w:val="24"/>
              </w:rPr>
              <w:t>rapport.</w:t>
            </w:r>
          </w:p>
        </w:tc>
        <w:tc>
          <w:tcPr>
            <w:tcW w:w="4819" w:type="dxa"/>
            <w:vAlign w:val="center"/>
          </w:tcPr>
          <w:p w:rsidR="0029571F" w:rsidRDefault="0029571F" w:rsidP="004B1F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 l'objet du point sachant que le montant forfaitaire de l'exploitation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des deux cafés et deux locaux commerciaux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est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celui  proposé par la commission des finances 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>indiqué dans  son rapport</w:t>
            </w:r>
          </w:p>
        </w:tc>
      </w:tr>
      <w:tr w:rsidR="0029571F" w:rsidTr="00F91092">
        <w:tc>
          <w:tcPr>
            <w:tcW w:w="1843" w:type="dxa"/>
            <w:vMerge/>
            <w:shd w:val="clear" w:color="auto" w:fill="DBE5F1" w:themeFill="accent1" w:themeFillTint="33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571F" w:rsidRPr="009B0E0D" w:rsidRDefault="0029571F" w:rsidP="004B1F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0E0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Modification </w:t>
            </w:r>
            <w:r w:rsidR="004B1F2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du plan et </w:t>
            </w:r>
            <w:r w:rsidRPr="009B0E0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du cahier des charges  relatifs à la cession des bureaux et locaux commerciaux </w:t>
            </w:r>
            <w:r w:rsidR="004B1F2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sis </w:t>
            </w:r>
            <w:r w:rsidRPr="009B0E0D">
              <w:rPr>
                <w:rFonts w:asciiTheme="majorBidi" w:hAnsiTheme="majorBidi" w:cstheme="majorBidi"/>
                <w:bCs/>
                <w:sz w:val="24"/>
                <w:szCs w:val="24"/>
              </w:rPr>
              <w:t>au centre commercial Hay Mohammadi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29571F" w:rsidRPr="009C1A07" w:rsidRDefault="0029571F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</w:tcPr>
          <w:p w:rsidR="0029571F" w:rsidRDefault="005C7EB4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donne son accord pour la redéfinition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 de l’objet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>de l'utilisation des bureaux et locaux administratifs selon la nature d</w:t>
            </w:r>
            <w:r w:rsidR="00450478">
              <w:rPr>
                <w:rFonts w:asciiTheme="majorBidi" w:hAnsiTheme="majorBidi" w:cstheme="majorBidi"/>
                <w:sz w:val="24"/>
                <w:szCs w:val="24"/>
              </w:rPr>
              <w:t>u local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 commercial avec la révision du coût de la cession</w:t>
            </w:r>
            <w:r w:rsidR="0045047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29571F" w:rsidRDefault="0029571F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29571F" w:rsidTr="00F91092">
        <w:tc>
          <w:tcPr>
            <w:tcW w:w="1843" w:type="dxa"/>
            <w:vMerge/>
            <w:shd w:val="clear" w:color="auto" w:fill="DBE5F1" w:themeFill="accent1" w:themeFillTint="33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571F" w:rsidRPr="009B0E0D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B0E0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Assainir la situation immobilière 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>des logements communaux sis à côté de la piscine municipale Sidi Youssef Ben Ali.</w:t>
            </w:r>
          </w:p>
          <w:p w:rsidR="0029571F" w:rsidRPr="009C1A07" w:rsidRDefault="0029571F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</w:tcPr>
          <w:p w:rsidR="0029571F" w:rsidRDefault="005C7EB4" w:rsidP="004B1F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Elle a</w:t>
            </w:r>
            <w:r w:rsidR="008E2F66">
              <w:rPr>
                <w:rFonts w:asciiTheme="majorBidi" w:hAnsiTheme="majorBidi" w:cstheme="majorBidi"/>
                <w:sz w:val="24"/>
                <w:szCs w:val="24"/>
              </w:rPr>
              <w:t xml:space="preserve">dopte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 l'objet du point selon les prix de cession déterminés par la commission chargée d'évaluation </w:t>
            </w:r>
            <w:r w:rsidR="004B1F2B">
              <w:rPr>
                <w:rFonts w:asciiTheme="majorBidi" w:hAnsiTheme="majorBidi" w:cstheme="majorBidi"/>
                <w:sz w:val="24"/>
                <w:szCs w:val="24"/>
              </w:rPr>
              <w:t xml:space="preserve"> arrêté au prix de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>500DH le m</w:t>
            </w:r>
            <w:r w:rsidR="0029571F" w:rsidRPr="00CA00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19" w:type="dxa"/>
          </w:tcPr>
          <w:p w:rsidR="0029571F" w:rsidRDefault="0029571F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4B1F2B" w:rsidTr="00F91092">
        <w:tc>
          <w:tcPr>
            <w:tcW w:w="1843" w:type="dxa"/>
            <w:vMerge/>
            <w:shd w:val="clear" w:color="auto" w:fill="DBE5F1" w:themeFill="accent1" w:themeFillTint="33"/>
          </w:tcPr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B1F2B" w:rsidRPr="009B0E0D" w:rsidRDefault="004B1F2B" w:rsidP="002E2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B1F2B" w:rsidRDefault="004B1F2B" w:rsidP="004B1F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1F2B" w:rsidRDefault="004B1F2B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571F" w:rsidTr="004B1F2B">
        <w:trPr>
          <w:trHeight w:val="84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:rsidR="0029571F" w:rsidRDefault="0029571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571F" w:rsidRPr="00F95216" w:rsidRDefault="0029571F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0E0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Modification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de l'arrêté communal réglementant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l'occupation du domaine public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communal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59411E">
              <w:rPr>
                <w:rFonts w:asciiTheme="majorBidi" w:hAnsiTheme="majorBidi" w:cstheme="majorBidi"/>
                <w:sz w:val="24"/>
                <w:szCs w:val="24"/>
              </w:rPr>
              <w:t>ux fins de publicité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à la lumière  de la note de présentation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 M. le Wali de la Région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Tensift Al Haouz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9571F" w:rsidRPr="009C1A07" w:rsidRDefault="0029571F" w:rsidP="002E22F5">
            <w:pPr>
              <w:pStyle w:val="Paragraphedeliste"/>
              <w:ind w:left="0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4111" w:type="dxa"/>
          </w:tcPr>
          <w:p w:rsidR="0029571F" w:rsidRDefault="005C7EB4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Elle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t xml:space="preserve">recommande de charger la division de la Gestion du Patrimoine Communal </w:t>
            </w:r>
            <w:r w:rsidR="002957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pour l'établissement d'un CPS en concordance avec les remarques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de M. le Wali de la Région </w:t>
            </w:r>
          </w:p>
          <w:p w:rsidR="00397676" w:rsidRDefault="00397676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9571F" w:rsidRDefault="0029571F" w:rsidP="0019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Report Sans débat</w:t>
            </w:r>
          </w:p>
        </w:tc>
      </w:tr>
      <w:tr w:rsidR="004B1F2B" w:rsidTr="00F91092">
        <w:tc>
          <w:tcPr>
            <w:tcW w:w="1843" w:type="dxa"/>
            <w:shd w:val="clear" w:color="auto" w:fill="DBE5F1" w:themeFill="accent1" w:themeFillTint="33"/>
            <w:vAlign w:val="center"/>
          </w:tcPr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B1F2B" w:rsidRPr="009B0E0D" w:rsidRDefault="004B1F2B" w:rsidP="002E2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B1F2B" w:rsidRDefault="004B1F2B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B1F2B" w:rsidRDefault="004B1F2B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50478" w:rsidRDefault="00450478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Default="00941007" w:rsidP="00F91092">
      <w:pPr>
        <w:rPr>
          <w:rFonts w:asciiTheme="majorBidi" w:hAnsiTheme="majorBidi" w:cstheme="majorBidi"/>
          <w:sz w:val="8"/>
          <w:szCs w:val="8"/>
          <w:lang w:bidi="ar-MA"/>
        </w:rPr>
      </w:pPr>
    </w:p>
    <w:p w:rsidR="00941007" w:rsidRPr="00F91092" w:rsidRDefault="00941007" w:rsidP="00F91092">
      <w:pPr>
        <w:rPr>
          <w:rFonts w:asciiTheme="majorBidi" w:hAnsiTheme="majorBidi" w:cstheme="majorBidi"/>
          <w:sz w:val="8"/>
          <w:szCs w:val="8"/>
          <w:rtl/>
          <w:lang w:bidi="ar-MA"/>
        </w:rPr>
      </w:pPr>
    </w:p>
    <w:p w:rsidR="00A96DBA" w:rsidRPr="00317C83" w:rsidRDefault="00A96DBA" w:rsidP="00317C83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Grilledutableau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6"/>
        <w:gridCol w:w="5102"/>
        <w:gridCol w:w="5954"/>
        <w:gridCol w:w="2409"/>
      </w:tblGrid>
      <w:tr w:rsidR="00397676" w:rsidRPr="0094366E" w:rsidTr="00F91092">
        <w:tc>
          <w:tcPr>
            <w:tcW w:w="1986" w:type="dxa"/>
            <w:shd w:val="clear" w:color="auto" w:fill="17365D" w:themeFill="text2" w:themeFillShade="BF"/>
          </w:tcPr>
          <w:p w:rsidR="00397676" w:rsidRPr="0094366E" w:rsidRDefault="00397676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F70CE"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lastRenderedPageBreak/>
              <w:t>Commission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 xml:space="preserve"> compétente</w:t>
            </w:r>
          </w:p>
        </w:tc>
        <w:tc>
          <w:tcPr>
            <w:tcW w:w="5102" w:type="dxa"/>
            <w:shd w:val="clear" w:color="auto" w:fill="17365D" w:themeFill="text2" w:themeFillShade="BF"/>
            <w:vAlign w:val="center"/>
          </w:tcPr>
          <w:p w:rsidR="00397676" w:rsidRPr="0094366E" w:rsidRDefault="00397676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4366E"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oint</w:t>
            </w:r>
          </w:p>
        </w:tc>
        <w:tc>
          <w:tcPr>
            <w:tcW w:w="5954" w:type="dxa"/>
            <w:shd w:val="clear" w:color="auto" w:fill="17365D" w:themeFill="text2" w:themeFillShade="BF"/>
            <w:vAlign w:val="center"/>
          </w:tcPr>
          <w:p w:rsidR="00397676" w:rsidRPr="0094366E" w:rsidRDefault="00397676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de la commission</w:t>
            </w:r>
          </w:p>
        </w:tc>
        <w:tc>
          <w:tcPr>
            <w:tcW w:w="2409" w:type="dxa"/>
            <w:shd w:val="clear" w:color="auto" w:fill="17365D" w:themeFill="text2" w:themeFillShade="BF"/>
            <w:vAlign w:val="center"/>
          </w:tcPr>
          <w:p w:rsidR="00397676" w:rsidRPr="0094366E" w:rsidRDefault="00397676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du conseil</w:t>
            </w:r>
          </w:p>
        </w:tc>
      </w:tr>
      <w:tr w:rsidR="00311441" w:rsidTr="00F91092"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311441" w:rsidRPr="00365BDF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 la</w:t>
            </w:r>
          </w:p>
          <w:p w:rsidR="00311441" w:rsidRPr="00365BDF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planification, des affaires</w:t>
            </w:r>
          </w:p>
          <w:p w:rsidR="00311441" w:rsidRDefault="00311441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économiques, du budget et des finances</w:t>
            </w:r>
          </w:p>
        </w:tc>
        <w:tc>
          <w:tcPr>
            <w:tcW w:w="5102" w:type="dxa"/>
            <w:vAlign w:val="center"/>
          </w:tcPr>
          <w:p w:rsidR="00311441" w:rsidRDefault="00311441" w:rsidP="00251B2B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rojet de convention de coopération entre  la 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Commune Urbaine de 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la </w:t>
            </w:r>
            <w:hyperlink r:id="rId9" w:history="1">
              <w:r>
                <w:rPr>
                  <w:rFonts w:asciiTheme="majorBidi" w:hAnsiTheme="majorBidi" w:cstheme="majorBidi"/>
                  <w:sz w:val="24"/>
                  <w:szCs w:val="24"/>
                </w:rPr>
                <w:t>Direction Générale de la Sû</w:t>
              </w:r>
              <w:r w:rsidRPr="0059411E">
                <w:rPr>
                  <w:rFonts w:asciiTheme="majorBidi" w:hAnsiTheme="majorBidi" w:cstheme="majorBidi"/>
                  <w:sz w:val="24"/>
                  <w:szCs w:val="24"/>
                </w:rPr>
                <w:t>reté Nationale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 assainir</w:t>
            </w:r>
            <w:r w:rsidRPr="0059411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9B0E0D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la situation immobilière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du siège de l’arrondissement de la Sû</w:t>
            </w:r>
            <w:r w:rsidRPr="00FD32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reté Nationale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- M’hamid.</w:t>
            </w:r>
          </w:p>
          <w:p w:rsidR="00311441" w:rsidRPr="009C1A07" w:rsidRDefault="00311441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311441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donne son accord  pour  la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convention établi au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Pr="00CA00D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mars 2012 au 31/12/2016 non reconductible.</w:t>
            </w:r>
          </w:p>
        </w:tc>
        <w:tc>
          <w:tcPr>
            <w:tcW w:w="2409" w:type="dxa"/>
            <w:vAlign w:val="center"/>
          </w:tcPr>
          <w:p w:rsidR="00311441" w:rsidRDefault="00311441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311441" w:rsidTr="00F91092">
        <w:tc>
          <w:tcPr>
            <w:tcW w:w="1986" w:type="dxa"/>
            <w:vMerge/>
            <w:shd w:val="clear" w:color="auto" w:fill="DBE5F1" w:themeFill="accent1" w:themeFillTint="33"/>
          </w:tcPr>
          <w:p w:rsidR="00311441" w:rsidRDefault="00311441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1441" w:rsidRDefault="00311441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544F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51B2B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eno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>uvellement du contrat de bail du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terrain situé près du siège actuel de Conseil d’Arrondissement Menara à l’Av. Hassan II, route d’Essaouira en faveur de la société marocaine de distribution du carburant « Afriquia ».</w:t>
            </w:r>
          </w:p>
          <w:p w:rsidR="00311441" w:rsidRPr="00F36BCC" w:rsidRDefault="00311441" w:rsidP="002E22F5">
            <w:pPr>
              <w:pStyle w:val="Paragraphedeliste"/>
              <w:ind w:left="0"/>
              <w:rPr>
                <w:rFonts w:asciiTheme="majorBidi" w:hAnsiTheme="majorBidi" w:cstheme="majorBidi"/>
                <w:b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311441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propose au chef de division des Affaires Juridiques d'inviter l'avocat de la commune à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présenter 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dossier complet et ce dans l'objet de respecter les décisions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du tribunal prises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à ce titre  </w:t>
            </w:r>
          </w:p>
        </w:tc>
        <w:tc>
          <w:tcPr>
            <w:tcW w:w="2409" w:type="dxa"/>
            <w:vAlign w:val="center"/>
          </w:tcPr>
          <w:p w:rsidR="00311441" w:rsidRDefault="00311441" w:rsidP="00196F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</w:t>
            </w:r>
            <w:r w:rsidR="00FE3520">
              <w:rPr>
                <w:rFonts w:asciiTheme="majorBidi" w:hAnsiTheme="majorBidi" w:cstheme="majorBidi"/>
                <w:sz w:val="24"/>
                <w:szCs w:val="24"/>
              </w:rPr>
              <w:t>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en prenant en considération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en considération de l'avis de la commission</w:t>
            </w:r>
          </w:p>
        </w:tc>
      </w:tr>
      <w:tr w:rsidR="00311441" w:rsidTr="00F91092">
        <w:tc>
          <w:tcPr>
            <w:tcW w:w="1986" w:type="dxa"/>
            <w:vMerge/>
            <w:shd w:val="clear" w:color="auto" w:fill="DBE5F1" w:themeFill="accent1" w:themeFillTint="33"/>
          </w:tcPr>
          <w:p w:rsidR="00311441" w:rsidRDefault="00311441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1441" w:rsidRDefault="00311441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544F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enouvellement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F3BC8">
              <w:rPr>
                <w:rFonts w:asciiTheme="majorBidi" w:hAnsiTheme="majorBidi" w:cstheme="majorBidi"/>
                <w:sz w:val="24"/>
                <w:szCs w:val="24"/>
              </w:rPr>
              <w:t>prolongement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du contrat de bail de terrain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objet du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tire foncier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5948/M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d’une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superficie  2228 m</w:t>
            </w:r>
            <w:r w:rsidRPr="006F3BC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situé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à Bab Doukkala,  Av.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>Soussi, en faveur de  la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ociété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>«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Pétrole d</w:t>
            </w:r>
            <w:r w:rsidRPr="006F3BC8">
              <w:rPr>
                <w:rFonts w:asciiTheme="majorBidi" w:hAnsiTheme="majorBidi" w:cstheme="majorBidi"/>
                <w:sz w:val="24"/>
                <w:szCs w:val="24"/>
              </w:rPr>
              <w:t>u Maghreb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PETROM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> 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11441" w:rsidRPr="006D54B4" w:rsidRDefault="00311441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8560BB" w:rsidP="00196F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décide de renvoyer le dossier </w:t>
            </w:r>
            <w:r w:rsidR="00B953F5">
              <w:rPr>
                <w:rFonts w:asciiTheme="majorBidi" w:hAnsiTheme="majorBidi" w:cstheme="majorBidi"/>
                <w:sz w:val="24"/>
                <w:szCs w:val="24"/>
              </w:rPr>
              <w:t xml:space="preserve"> au tribunal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>et r</w:t>
            </w:r>
            <w:r w:rsidR="00B953F5">
              <w:rPr>
                <w:rFonts w:asciiTheme="majorBidi" w:hAnsiTheme="majorBidi" w:cstheme="majorBidi"/>
                <w:sz w:val="24"/>
                <w:szCs w:val="24"/>
              </w:rPr>
              <w:t xml:space="preserve">efuse de renouveler ce </w:t>
            </w:r>
            <w:r w:rsidR="00B953F5" w:rsidRPr="00B953F5">
              <w:rPr>
                <w:rFonts w:asciiTheme="majorBidi" w:hAnsiTheme="majorBidi" w:cstheme="majorBidi"/>
                <w:sz w:val="24"/>
                <w:szCs w:val="24"/>
              </w:rPr>
              <w:t xml:space="preserve">contrat </w:t>
            </w:r>
            <w:r w:rsidR="00196F99">
              <w:rPr>
                <w:rFonts w:asciiTheme="majorBidi" w:hAnsiTheme="majorBidi" w:cstheme="majorBidi"/>
                <w:sz w:val="24"/>
                <w:szCs w:val="24"/>
              </w:rPr>
              <w:t xml:space="preserve">non équitable </w:t>
            </w:r>
          </w:p>
        </w:tc>
        <w:tc>
          <w:tcPr>
            <w:tcW w:w="2409" w:type="dxa"/>
            <w:vAlign w:val="center"/>
          </w:tcPr>
          <w:p w:rsidR="00311441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pour prise en considération de l'avis de la commission</w:t>
            </w:r>
          </w:p>
        </w:tc>
      </w:tr>
      <w:tr w:rsidR="00311441" w:rsidTr="00F91092">
        <w:tc>
          <w:tcPr>
            <w:tcW w:w="1986" w:type="dxa"/>
            <w:vMerge/>
            <w:shd w:val="clear" w:color="auto" w:fill="DBE5F1" w:themeFill="accent1" w:themeFillTint="33"/>
          </w:tcPr>
          <w:p w:rsidR="00311441" w:rsidRDefault="00311441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1441" w:rsidRDefault="00311441" w:rsidP="002449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C4DF4">
              <w:rPr>
                <w:rFonts w:asciiTheme="majorBidi" w:hAnsiTheme="majorBidi" w:cstheme="majorBidi"/>
                <w:sz w:val="24"/>
                <w:szCs w:val="24"/>
              </w:rPr>
              <w:t>lignement des voies publiques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C4DF4">
              <w:rPr>
                <w:rFonts w:asciiTheme="majorBidi" w:hAnsiTheme="majorBidi" w:cstheme="majorBidi"/>
                <w:sz w:val="24"/>
                <w:szCs w:val="24"/>
              </w:rPr>
              <w:t xml:space="preserve">expropriation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renon</w:t>
            </w:r>
            <w:r w:rsidR="000B5DD9">
              <w:rPr>
                <w:rFonts w:asciiTheme="majorBidi" w:hAnsiTheme="majorBidi" w:cstheme="majorBidi"/>
                <w:sz w:val="24"/>
                <w:szCs w:val="24"/>
              </w:rPr>
              <w:t>ciation aux lots de terrain et d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es droits réels et immobiliers y afférents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pour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l’achèvement des routes d’aménagement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reliant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quartiers Massira, Azli, Iziki et Targa à l’accès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 la route de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Casablanca.</w:t>
            </w:r>
          </w:p>
          <w:p w:rsidR="00311441" w:rsidRPr="006D54B4" w:rsidRDefault="00311441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0E4BDD" w:rsidP="0094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d</w:t>
            </w:r>
            <w:r w:rsidR="005A74F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5751D0">
              <w:rPr>
                <w:rFonts w:asciiTheme="majorBidi" w:hAnsiTheme="majorBidi" w:cstheme="majorBidi"/>
                <w:sz w:val="24"/>
                <w:szCs w:val="24"/>
              </w:rPr>
              <w:t xml:space="preserve"> deux  propositions sachant que les données techniques</w:t>
            </w:r>
            <w:r w:rsidR="00FC1FE5">
              <w:rPr>
                <w:rFonts w:asciiTheme="majorBidi" w:hAnsiTheme="majorBidi" w:cstheme="majorBidi"/>
                <w:sz w:val="24"/>
                <w:szCs w:val="24"/>
              </w:rPr>
              <w:t xml:space="preserve"> seront </w:t>
            </w:r>
            <w:r w:rsidR="005A74F5">
              <w:rPr>
                <w:rFonts w:asciiTheme="majorBidi" w:hAnsiTheme="majorBidi" w:cstheme="majorBidi"/>
                <w:sz w:val="24"/>
                <w:szCs w:val="24"/>
              </w:rPr>
              <w:t>fournies</w:t>
            </w:r>
            <w:r w:rsidR="00FC1FE5">
              <w:rPr>
                <w:rFonts w:asciiTheme="majorBidi" w:hAnsiTheme="majorBidi" w:cstheme="majorBidi"/>
                <w:sz w:val="24"/>
                <w:szCs w:val="24"/>
              </w:rPr>
              <w:t xml:space="preserve">  par la division 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 xml:space="preserve">gestion du patrimoine </w:t>
            </w:r>
            <w:r w:rsidR="00FC1FE5">
              <w:rPr>
                <w:rFonts w:asciiTheme="majorBidi" w:hAnsiTheme="majorBidi" w:cstheme="majorBidi"/>
                <w:sz w:val="24"/>
                <w:szCs w:val="24"/>
              </w:rPr>
              <w:t>lors de l’assemblée générale du conseil communal.</w:t>
            </w:r>
          </w:p>
          <w:p w:rsidR="00487AB8" w:rsidRPr="00941007" w:rsidRDefault="00941007" w:rsidP="00941007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Considérant </w:t>
            </w:r>
            <w:r w:rsidR="00831BD2"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7AB8"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l’absence </w:t>
            </w:r>
            <w:r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l’engagement </w:t>
            </w:r>
            <w:r w:rsidR="00487AB8"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coût financier </w:t>
            </w:r>
            <w:r w:rsidRPr="00941007">
              <w:rPr>
                <w:rFonts w:asciiTheme="majorBidi" w:hAnsiTheme="majorBidi" w:cstheme="majorBidi"/>
                <w:sz w:val="24"/>
                <w:szCs w:val="24"/>
              </w:rPr>
              <w:t xml:space="preserve"> pour la commune. Les travaux sont en cours et seront pris en charge par des investisseurs privés.</w:t>
            </w:r>
          </w:p>
          <w:p w:rsidR="00941007" w:rsidRPr="00941007" w:rsidRDefault="00941007" w:rsidP="00941007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41007">
              <w:rPr>
                <w:rFonts w:asciiTheme="majorBidi" w:hAnsiTheme="majorBidi" w:cstheme="majorBidi"/>
                <w:sz w:val="24"/>
                <w:szCs w:val="24"/>
              </w:rPr>
              <w:t>Considérant l’étendue des espaces et l’architecture générale des voies qui a été faite dans une projection de développement très à long terme.</w:t>
            </w:r>
          </w:p>
        </w:tc>
        <w:tc>
          <w:tcPr>
            <w:tcW w:w="2409" w:type="dxa"/>
            <w:vAlign w:val="center"/>
          </w:tcPr>
          <w:p w:rsidR="00311441" w:rsidRDefault="00DC3EBE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311441" w:rsidTr="00F91092">
        <w:tc>
          <w:tcPr>
            <w:tcW w:w="1986" w:type="dxa"/>
            <w:vMerge/>
            <w:shd w:val="clear" w:color="auto" w:fill="DBE5F1" w:themeFill="accent1" w:themeFillTint="33"/>
          </w:tcPr>
          <w:p w:rsidR="00311441" w:rsidRDefault="00311441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1441" w:rsidRDefault="00311441" w:rsidP="0094100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244980" w:rsidRPr="006C4DF4">
              <w:rPr>
                <w:rFonts w:asciiTheme="majorBidi" w:hAnsiTheme="majorBidi" w:cstheme="majorBidi"/>
                <w:sz w:val="24"/>
                <w:szCs w:val="24"/>
              </w:rPr>
              <w:t>lignement des voies publiques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44980" w:rsidRPr="006C4DF4">
              <w:rPr>
                <w:rFonts w:asciiTheme="majorBidi" w:hAnsiTheme="majorBidi" w:cstheme="majorBidi"/>
                <w:sz w:val="24"/>
                <w:szCs w:val="24"/>
              </w:rPr>
              <w:t xml:space="preserve">expropriation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="00244980"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renonciation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aux lots de terrain et les droits réels et immobiliers y afférents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pour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créer 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 xml:space="preserve">d’une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double 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 xml:space="preserve">voie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reliant la route nationale n° 9  et le projet résidentiel </w:t>
            </w:r>
            <w:r w:rsidRPr="00A528D8">
              <w:rPr>
                <w:rFonts w:asciiTheme="majorBidi" w:hAnsiTheme="majorBidi" w:cstheme="majorBidi"/>
                <w:sz w:val="24"/>
                <w:szCs w:val="24"/>
              </w:rPr>
              <w:t>Golf Resort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 Groupe </w:t>
            </w:r>
            <w:r w:rsidRPr="00A528D8">
              <w:rPr>
                <w:rFonts w:asciiTheme="majorBidi" w:hAnsiTheme="majorBidi" w:cstheme="majorBidi"/>
                <w:sz w:val="24"/>
                <w:szCs w:val="24"/>
              </w:rPr>
              <w:t>Addoha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11441" w:rsidRDefault="00311441" w:rsidP="002E22F5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(Point inscrit à l’ordre du 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jour </w:t>
            </w:r>
            <w:r w:rsidRPr="00F41C9F">
              <w:rPr>
                <w:rFonts w:asciiTheme="majorBidi" w:hAnsiTheme="majorBidi" w:cstheme="majorBidi"/>
                <w:i/>
                <w:iCs/>
              </w:rPr>
              <w:t>sur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 proposition de l’autorité locale)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A96DBA" w:rsidRPr="00A52F1B" w:rsidRDefault="00A96DBA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11441" w:rsidRDefault="004E595F" w:rsidP="00317C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Adoption du point 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 xml:space="preserve">pour  son caractère sociale. </w:t>
            </w:r>
            <w:r w:rsidR="00D5407D">
              <w:rPr>
                <w:rFonts w:asciiTheme="majorBidi" w:hAnsiTheme="majorBidi" w:cstheme="majorBidi"/>
                <w:sz w:val="24"/>
                <w:szCs w:val="24"/>
              </w:rPr>
              <w:t xml:space="preserve"> ce qui permet de </w:t>
            </w:r>
            <w:r w:rsidR="00320AED">
              <w:rPr>
                <w:rFonts w:asciiTheme="majorBidi" w:hAnsiTheme="majorBidi" w:cstheme="majorBidi"/>
                <w:sz w:val="24"/>
                <w:szCs w:val="24"/>
              </w:rPr>
              <w:t>facil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ite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prise des décisions parmi </w:t>
            </w:r>
            <w:r w:rsidR="00941007">
              <w:rPr>
                <w:rFonts w:asciiTheme="majorBidi" w:hAnsiTheme="majorBidi" w:cstheme="majorBidi"/>
                <w:sz w:val="24"/>
                <w:szCs w:val="24"/>
              </w:rPr>
              <w:t xml:space="preserve">surtout en matière de </w:t>
            </w:r>
            <w:r w:rsidR="00320AED">
              <w:rPr>
                <w:rFonts w:asciiTheme="majorBidi" w:hAnsiTheme="majorBidi" w:cstheme="majorBidi"/>
                <w:sz w:val="24"/>
                <w:szCs w:val="24"/>
              </w:rPr>
              <w:t xml:space="preserve"> délogement des familles intéressées aux </w:t>
            </w:r>
            <w:r w:rsidR="00320AED" w:rsidRPr="00320AED">
              <w:rPr>
                <w:rFonts w:asciiTheme="majorBidi" w:hAnsiTheme="majorBidi" w:cstheme="majorBidi"/>
                <w:sz w:val="24"/>
                <w:szCs w:val="24"/>
              </w:rPr>
              <w:t>zones voisines</w:t>
            </w:r>
            <w:r w:rsidR="00320AED">
              <w:rPr>
                <w:rFonts w:asciiTheme="majorBidi" w:hAnsiTheme="majorBidi" w:cstheme="majorBidi"/>
                <w:sz w:val="24"/>
                <w:szCs w:val="24"/>
              </w:rPr>
              <w:t xml:space="preserve"> en attendant 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 xml:space="preserve">d’assainir </w:t>
            </w:r>
            <w:r w:rsidR="0013195A">
              <w:rPr>
                <w:rFonts w:asciiTheme="majorBidi" w:hAnsiTheme="majorBidi" w:cstheme="majorBidi"/>
                <w:sz w:val="24"/>
                <w:szCs w:val="24"/>
              </w:rPr>
              <w:t xml:space="preserve">la situation immobilière 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 xml:space="preserve">du terrain alloué. </w:t>
            </w:r>
            <w:r w:rsidR="00A113AB" w:rsidRPr="009436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13195A">
              <w:rPr>
                <w:rFonts w:asciiTheme="majorBidi" w:hAnsiTheme="majorBidi" w:cstheme="majorBidi"/>
                <w:sz w:val="24"/>
                <w:szCs w:val="24"/>
              </w:rPr>
              <w:t xml:space="preserve">es données techniques 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 xml:space="preserve">seront fournies </w:t>
            </w:r>
            <w:r w:rsidR="0013195A">
              <w:rPr>
                <w:rFonts w:asciiTheme="majorBidi" w:hAnsiTheme="majorBidi" w:cstheme="majorBidi"/>
                <w:sz w:val="24"/>
                <w:szCs w:val="24"/>
              </w:rPr>
              <w:t>par la division du patrimoine communal</w:t>
            </w:r>
            <w:r w:rsidR="006014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195A">
              <w:rPr>
                <w:rFonts w:asciiTheme="majorBidi" w:hAnsiTheme="majorBidi" w:cstheme="majorBidi"/>
                <w:sz w:val="24"/>
                <w:szCs w:val="24"/>
              </w:rPr>
              <w:t xml:space="preserve"> lors de l’assemblée générale du conseil</w:t>
            </w:r>
          </w:p>
        </w:tc>
        <w:tc>
          <w:tcPr>
            <w:tcW w:w="2409" w:type="dxa"/>
            <w:vAlign w:val="center"/>
          </w:tcPr>
          <w:p w:rsidR="00311441" w:rsidRDefault="00317C83" w:rsidP="00317C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pour absence du PV de la commission chargée de l’</w:t>
            </w:r>
            <w:r w:rsidR="00FE3520">
              <w:rPr>
                <w:rFonts w:asciiTheme="majorBidi" w:hAnsiTheme="majorBidi" w:cstheme="majorBidi"/>
                <w:sz w:val="24"/>
                <w:szCs w:val="24"/>
              </w:rPr>
              <w:t>évaluation</w:t>
            </w:r>
          </w:p>
        </w:tc>
      </w:tr>
      <w:tr w:rsidR="00317C83" w:rsidTr="00F91092">
        <w:tc>
          <w:tcPr>
            <w:tcW w:w="1986" w:type="dxa"/>
            <w:shd w:val="clear" w:color="auto" w:fill="DBE5F1" w:themeFill="accent1" w:themeFillTint="33"/>
          </w:tcPr>
          <w:p w:rsidR="00317C83" w:rsidRDefault="00317C83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7C83" w:rsidRDefault="00317C83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7C83" w:rsidRDefault="00317C83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7C83" w:rsidRDefault="00317C83" w:rsidP="009410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17C83" w:rsidRDefault="00317C83" w:rsidP="00317C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7C83" w:rsidRDefault="00317C83" w:rsidP="00317C8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2F1B" w:rsidTr="00F91092">
        <w:trPr>
          <w:trHeight w:val="554"/>
        </w:trPr>
        <w:tc>
          <w:tcPr>
            <w:tcW w:w="1986" w:type="dxa"/>
            <w:shd w:val="clear" w:color="auto" w:fill="365F91" w:themeFill="accent1" w:themeFillShade="BF"/>
          </w:tcPr>
          <w:p w:rsidR="00A52F1B" w:rsidRPr="0094366E" w:rsidRDefault="00A52F1B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F70CE"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lastRenderedPageBreak/>
              <w:t>Commission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 xml:space="preserve"> compétente</w:t>
            </w:r>
          </w:p>
        </w:tc>
        <w:tc>
          <w:tcPr>
            <w:tcW w:w="5102" w:type="dxa"/>
            <w:shd w:val="clear" w:color="auto" w:fill="365F91" w:themeFill="accent1" w:themeFillShade="BF"/>
            <w:vAlign w:val="center"/>
          </w:tcPr>
          <w:p w:rsidR="00A52F1B" w:rsidRPr="0094366E" w:rsidRDefault="00A52F1B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4366E"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oint</w:t>
            </w:r>
          </w:p>
        </w:tc>
        <w:tc>
          <w:tcPr>
            <w:tcW w:w="5954" w:type="dxa"/>
            <w:shd w:val="clear" w:color="auto" w:fill="365F91" w:themeFill="accent1" w:themeFillShade="BF"/>
            <w:vAlign w:val="center"/>
          </w:tcPr>
          <w:p w:rsidR="00A52F1B" w:rsidRPr="0094366E" w:rsidRDefault="00A52F1B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de la commission</w:t>
            </w:r>
          </w:p>
        </w:tc>
        <w:tc>
          <w:tcPr>
            <w:tcW w:w="2409" w:type="dxa"/>
            <w:shd w:val="clear" w:color="auto" w:fill="365F91" w:themeFill="accent1" w:themeFillShade="BF"/>
            <w:vAlign w:val="center"/>
          </w:tcPr>
          <w:p w:rsidR="00A52F1B" w:rsidRPr="0094366E" w:rsidRDefault="00A52F1B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du conseil</w:t>
            </w:r>
          </w:p>
        </w:tc>
      </w:tr>
      <w:tr w:rsidR="00FE3520" w:rsidTr="00F91092"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FE3520" w:rsidRPr="00365BDF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 la</w:t>
            </w:r>
          </w:p>
          <w:p w:rsidR="00FE3520" w:rsidRPr="00365BDF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planification, des affaires</w:t>
            </w:r>
          </w:p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économiques, du budget et des finances</w:t>
            </w:r>
          </w:p>
        </w:tc>
        <w:tc>
          <w:tcPr>
            <w:tcW w:w="5102" w:type="dxa"/>
          </w:tcPr>
          <w:p w:rsidR="00FE3520" w:rsidRDefault="00FE3520" w:rsidP="00317C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Pr="008C2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FD39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Modification de 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 xml:space="preserve">décision </w:t>
            </w:r>
            <w:r w:rsidRPr="00FD3955">
              <w:rPr>
                <w:rFonts w:asciiTheme="majorBidi" w:hAnsiTheme="majorBidi" w:cstheme="majorBidi"/>
                <w:sz w:val="24"/>
                <w:szCs w:val="24"/>
              </w:rPr>
              <w:t xml:space="preserve">du Conseil 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 xml:space="preserve"> communal session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octobre 2013 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>autorisant</w:t>
            </w:r>
            <w:r w:rsidR="00A113AB" w:rsidRPr="00FD39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3955">
              <w:rPr>
                <w:rFonts w:asciiTheme="majorBidi" w:hAnsiTheme="majorBidi" w:cstheme="majorBidi"/>
                <w:sz w:val="24"/>
                <w:szCs w:val="24"/>
              </w:rPr>
              <w:t>l’exploitation du domaine public Communal pour la construction d’un bâtiment affecté à la création des toilettes publiques au profit de Mustapha CHERAOU dans le cadre du projet « Dar Lodo 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E3520" w:rsidRPr="006D54B4" w:rsidRDefault="00FE3520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FE3520" w:rsidRDefault="00806F0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Adoption de la modification 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>suivante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806F0F" w:rsidRDefault="00806F0F" w:rsidP="00317C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autoris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>ant</w:t>
            </w:r>
            <w:r w:rsidRPr="00FD3955">
              <w:rPr>
                <w:rFonts w:asciiTheme="majorBidi" w:hAnsiTheme="majorBidi" w:cstheme="majorBidi"/>
                <w:sz w:val="24"/>
                <w:szCs w:val="24"/>
              </w:rPr>
              <w:t xml:space="preserve"> l’exploitation du domaine public Communal au profit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société</w:t>
            </w:r>
            <w:r w:rsidRPr="00FD3955">
              <w:rPr>
                <w:rFonts w:asciiTheme="majorBidi" w:hAnsiTheme="majorBidi" w:cstheme="majorBidi"/>
                <w:sz w:val="24"/>
                <w:szCs w:val="24"/>
              </w:rPr>
              <w:t xml:space="preserve"> « Dar Lodo »</w:t>
            </w:r>
            <w:r w:rsidR="00317C83">
              <w:rPr>
                <w:rFonts w:asciiTheme="majorBidi" w:hAnsiTheme="majorBidi" w:cstheme="majorBidi"/>
                <w:sz w:val="24"/>
                <w:szCs w:val="24"/>
              </w:rPr>
              <w:t xml:space="preserve"> au lieu de M. Mustapha Cheraou </w:t>
            </w:r>
          </w:p>
          <w:p w:rsidR="00806F0F" w:rsidRDefault="00806F0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7845D7"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FE3520" w:rsidTr="00F91092">
        <w:tc>
          <w:tcPr>
            <w:tcW w:w="1986" w:type="dxa"/>
            <w:vMerge/>
            <w:shd w:val="clear" w:color="auto" w:fill="DBE5F1" w:themeFill="accent1" w:themeFillTint="33"/>
          </w:tcPr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</w:tcPr>
          <w:p w:rsidR="00FE3520" w:rsidRDefault="00FE3520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Rectification d’une faute  matérielle figurant à la décision du Conseil Communal de Marrakech, lors de sa session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d’octobre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, se rapportant à l'adoption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de la  procédure de déclassement du lot de terrain où se situe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Douar Sidi M’barek appartena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nt au domaine public de l’Arrondissement Menara,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ayant le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titre foncier n° : 49757/04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superficie : 2269 m</w:t>
            </w:r>
            <w:r w:rsidRPr="004B15D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, de domaine public au domaine privé.</w:t>
            </w:r>
          </w:p>
          <w:p w:rsidR="00FE3520" w:rsidRPr="006D54B4" w:rsidRDefault="00FE3520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FE3520" w:rsidRDefault="00806F0F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de la re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ctification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numéro du titre foncier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49757/04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figurant à la décision du Conseil Communal de Marrakech, lors de sa session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d’octobre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le remplacer par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497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7/04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7845D7"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311441" w:rsidTr="00F91092">
        <w:tc>
          <w:tcPr>
            <w:tcW w:w="1986" w:type="dxa"/>
            <w:shd w:val="clear" w:color="auto" w:fill="DBE5F1" w:themeFill="accent1" w:themeFillTint="33"/>
          </w:tcPr>
          <w:p w:rsidR="00311441" w:rsidRPr="00311441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Com. chargée de</w:t>
            </w:r>
          </w:p>
          <w:p w:rsidR="00311441" w:rsidRPr="00311441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l'urbanisme, de l'aménagement du</w:t>
            </w:r>
          </w:p>
          <w:p w:rsidR="00311441" w:rsidRDefault="00311441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territoire et de l'environnement</w:t>
            </w:r>
          </w:p>
        </w:tc>
        <w:tc>
          <w:tcPr>
            <w:tcW w:w="5102" w:type="dxa"/>
            <w:vAlign w:val="center"/>
          </w:tcPr>
          <w:p w:rsidR="00311441" w:rsidRDefault="00311441" w:rsidP="002449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r w:rsidRPr="00164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ésaffectation d’un lot de terrain pour construire une  mosquée à M’hamid 1.</w:t>
            </w:r>
          </w:p>
          <w:p w:rsidR="00311441" w:rsidRPr="006D54B4" w:rsidRDefault="00311441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317C83" w:rsidP="00214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Adoption du 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 xml:space="preserve">principe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 la base </w:t>
            </w:r>
            <w:r w:rsidR="00A113AB">
              <w:rPr>
                <w:rFonts w:asciiTheme="majorBidi" w:hAnsiTheme="majorBidi" w:cstheme="majorBidi"/>
                <w:sz w:val="24"/>
                <w:szCs w:val="24"/>
              </w:rPr>
              <w:t xml:space="preserve">de présenter </w:t>
            </w:r>
            <w:r w:rsidR="0021448A">
              <w:rPr>
                <w:rFonts w:asciiTheme="majorBidi" w:hAnsiTheme="majorBidi" w:cstheme="majorBidi"/>
                <w:sz w:val="24"/>
                <w:szCs w:val="24"/>
              </w:rPr>
              <w:t xml:space="preserve"> les données  et la note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 xml:space="preserve"> technique 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 xml:space="preserve"> devant 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>l’assemblée générale du conseil</w:t>
            </w:r>
            <w:r w:rsidR="00DC68B2"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>lors de l</w:t>
            </w:r>
            <w:r w:rsidR="00DC68B2"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a session 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>d’avril</w:t>
            </w:r>
            <w:r w:rsidR="00DC68B2"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201</w:t>
            </w:r>
            <w:r w:rsidR="00DC68B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311441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311441" w:rsidTr="00F91092">
        <w:tc>
          <w:tcPr>
            <w:tcW w:w="1986" w:type="dxa"/>
            <w:shd w:val="clear" w:color="auto" w:fill="DBE5F1" w:themeFill="accent1" w:themeFillTint="33"/>
          </w:tcPr>
          <w:p w:rsidR="00311441" w:rsidRPr="00365BDF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du</w:t>
            </w:r>
          </w:p>
          <w:p w:rsidR="00311441" w:rsidRPr="00365BDF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développement humain, des affaires</w:t>
            </w:r>
          </w:p>
          <w:p w:rsidR="00311441" w:rsidRPr="00365BDF" w:rsidRDefault="00311441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sociales, culturelles et sportives</w:t>
            </w:r>
          </w:p>
          <w:p w:rsidR="00311441" w:rsidRDefault="00311441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311441" w:rsidRDefault="00311441" w:rsidP="00214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Projet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convention du partenariat avec </w:t>
            </w:r>
            <w:r>
              <w:rPr>
                <w:rStyle w:val="st"/>
              </w:rPr>
              <w:t xml:space="preserve">le </w:t>
            </w:r>
            <w:r w:rsidRPr="00D40CEE">
              <w:rPr>
                <w:rFonts w:asciiTheme="majorBidi" w:hAnsiTheme="majorBidi" w:cstheme="majorBidi"/>
                <w:sz w:val="24"/>
                <w:szCs w:val="24"/>
              </w:rPr>
              <w:t>Royal Tennis Club de 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448A">
              <w:rPr>
                <w:rFonts w:asciiTheme="majorBidi" w:hAnsiTheme="majorBidi" w:cstheme="majorBidi"/>
                <w:sz w:val="24"/>
                <w:szCs w:val="24"/>
              </w:rPr>
              <w:t xml:space="preserve">pour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l’organisation des tournois internationaux de tennis. </w:t>
            </w:r>
          </w:p>
          <w:p w:rsidR="00311441" w:rsidRPr="006D54B4" w:rsidRDefault="00311441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21448A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commission ne s’</w:t>
            </w:r>
            <w:r w:rsidR="001B0AF2">
              <w:rPr>
                <w:rFonts w:asciiTheme="majorBidi" w:hAnsiTheme="majorBidi" w:cstheme="majorBidi"/>
                <w:sz w:val="24"/>
                <w:szCs w:val="24"/>
              </w:rPr>
              <w:t>est pas encore réunie</w:t>
            </w:r>
          </w:p>
        </w:tc>
        <w:tc>
          <w:tcPr>
            <w:tcW w:w="2409" w:type="dxa"/>
            <w:vAlign w:val="center"/>
          </w:tcPr>
          <w:p w:rsidR="00311441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du point Sans débat</w:t>
            </w:r>
          </w:p>
        </w:tc>
      </w:tr>
      <w:tr w:rsidR="00311441" w:rsidTr="00F91092">
        <w:tc>
          <w:tcPr>
            <w:tcW w:w="1986" w:type="dxa"/>
            <w:shd w:val="clear" w:color="auto" w:fill="DBE5F1" w:themeFill="accent1" w:themeFillTint="33"/>
          </w:tcPr>
          <w:p w:rsidR="00311441" w:rsidRDefault="00765FBB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des services publics</w:t>
            </w:r>
          </w:p>
        </w:tc>
        <w:tc>
          <w:tcPr>
            <w:tcW w:w="5102" w:type="dxa"/>
          </w:tcPr>
          <w:p w:rsidR="00311441" w:rsidRDefault="00311441" w:rsidP="00214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B0E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9B0E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0E0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rojet d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'arrêté communal réglementant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gestion du stade Al Harti</w:t>
            </w:r>
            <w:r w:rsidR="0021448A">
              <w:rPr>
                <w:rFonts w:asciiTheme="majorBidi" w:hAnsiTheme="majorBidi" w:cstheme="majorBidi"/>
                <w:sz w:val="24"/>
                <w:szCs w:val="24"/>
              </w:rPr>
              <w:t xml:space="preserve"> et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 sa</w:t>
            </w:r>
            <w:r w:rsidR="0021448A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r w:rsidR="0021448A">
              <w:rPr>
                <w:rFonts w:asciiTheme="majorBidi" w:hAnsiTheme="majorBidi" w:cstheme="majorBidi"/>
                <w:sz w:val="24"/>
                <w:szCs w:val="24"/>
              </w:rPr>
              <w:t xml:space="preserve">de sport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mises à la disposition des arrondissements.</w:t>
            </w:r>
          </w:p>
          <w:p w:rsidR="00311441" w:rsidRPr="006D54B4" w:rsidRDefault="00311441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311441" w:rsidRDefault="00DC68B2" w:rsidP="00440C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Adoption 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>des  modifications (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EA6309">
              <w:rPr>
                <w:rFonts w:asciiTheme="majorBidi" w:hAnsiTheme="majorBidi" w:cstheme="majorBidi"/>
                <w:sz w:val="24"/>
                <w:szCs w:val="24"/>
              </w:rPr>
              <w:t xml:space="preserve"> forme et 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 xml:space="preserve"> fond)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 xml:space="preserve">relatives à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l’arrêté réglementaire  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 xml:space="preserve">qui seront </w:t>
            </w:r>
            <w:r w:rsidR="00440C63">
              <w:rPr>
                <w:rFonts w:asciiTheme="majorBidi" w:hAnsiTheme="majorBidi" w:cstheme="majorBidi"/>
                <w:sz w:val="24"/>
                <w:szCs w:val="24"/>
              </w:rPr>
              <w:t xml:space="preserve">repris 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 xml:space="preserve">par la division de la Jeunesse, Culture, Sport, et Education </w:t>
            </w:r>
            <w:r w:rsidR="00EA6309">
              <w:rPr>
                <w:rFonts w:asciiTheme="majorBidi" w:hAnsiTheme="majorBidi" w:cstheme="majorBidi"/>
                <w:sz w:val="24"/>
                <w:szCs w:val="24"/>
              </w:rPr>
              <w:t xml:space="preserve">pour </w:t>
            </w:r>
            <w:r w:rsidR="00440C63">
              <w:rPr>
                <w:rFonts w:asciiTheme="majorBidi" w:hAnsiTheme="majorBidi" w:cstheme="majorBidi"/>
                <w:sz w:val="24"/>
                <w:szCs w:val="24"/>
              </w:rPr>
              <w:t xml:space="preserve"> sous son format final et les présenter devant l’assemblée générale du </w:t>
            </w:r>
            <w:r w:rsidR="00563A0C">
              <w:rPr>
                <w:rFonts w:asciiTheme="majorBidi" w:hAnsiTheme="majorBidi" w:cstheme="majorBidi"/>
                <w:sz w:val="24"/>
                <w:szCs w:val="24"/>
              </w:rPr>
              <w:t xml:space="preserve"> conseil</w:t>
            </w:r>
          </w:p>
        </w:tc>
        <w:tc>
          <w:tcPr>
            <w:tcW w:w="2409" w:type="dxa"/>
            <w:vAlign w:val="center"/>
          </w:tcPr>
          <w:p w:rsidR="00311441" w:rsidRDefault="0015453D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pour approfondissement du débat</w:t>
            </w:r>
          </w:p>
        </w:tc>
      </w:tr>
      <w:tr w:rsidR="0021448A" w:rsidTr="00F91092">
        <w:tc>
          <w:tcPr>
            <w:tcW w:w="1986" w:type="dxa"/>
            <w:shd w:val="clear" w:color="auto" w:fill="DBE5F1" w:themeFill="accent1" w:themeFillTint="33"/>
          </w:tcPr>
          <w:p w:rsidR="0021448A" w:rsidRDefault="0021448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1448A" w:rsidRDefault="0021448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1448A" w:rsidRPr="00365BDF" w:rsidRDefault="0021448A" w:rsidP="002E22F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21448A" w:rsidRDefault="0021448A" w:rsidP="002449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1448A" w:rsidRDefault="0021448A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448A" w:rsidRDefault="0021448A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6309" w:rsidTr="00F91092">
        <w:trPr>
          <w:trHeight w:val="554"/>
        </w:trPr>
        <w:tc>
          <w:tcPr>
            <w:tcW w:w="1986" w:type="dxa"/>
            <w:shd w:val="clear" w:color="auto" w:fill="365F91" w:themeFill="accent1" w:themeFillShade="BF"/>
          </w:tcPr>
          <w:p w:rsidR="00EA6309" w:rsidRPr="0094366E" w:rsidRDefault="00EA6309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F70CE"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lastRenderedPageBreak/>
              <w:t>Commission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bidi="ar-MA"/>
              </w:rPr>
              <w:t xml:space="preserve"> compétente</w:t>
            </w:r>
          </w:p>
        </w:tc>
        <w:tc>
          <w:tcPr>
            <w:tcW w:w="5102" w:type="dxa"/>
            <w:shd w:val="clear" w:color="auto" w:fill="365F91" w:themeFill="accent1" w:themeFillShade="BF"/>
            <w:vAlign w:val="center"/>
          </w:tcPr>
          <w:p w:rsidR="00EA6309" w:rsidRPr="0094366E" w:rsidRDefault="00EA6309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94366E"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oint</w:t>
            </w:r>
          </w:p>
        </w:tc>
        <w:tc>
          <w:tcPr>
            <w:tcW w:w="5954" w:type="dxa"/>
            <w:shd w:val="clear" w:color="auto" w:fill="365F91" w:themeFill="accent1" w:themeFillShade="BF"/>
            <w:vAlign w:val="center"/>
          </w:tcPr>
          <w:p w:rsidR="00EA6309" w:rsidRPr="0094366E" w:rsidRDefault="00EA6309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de la commission</w:t>
            </w:r>
          </w:p>
        </w:tc>
        <w:tc>
          <w:tcPr>
            <w:tcW w:w="2409" w:type="dxa"/>
            <w:shd w:val="clear" w:color="auto" w:fill="365F91" w:themeFill="accent1" w:themeFillShade="BF"/>
            <w:vAlign w:val="center"/>
          </w:tcPr>
          <w:p w:rsidR="00EA6309" w:rsidRPr="0094366E" w:rsidRDefault="00EA6309" w:rsidP="002E22F5">
            <w:pP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orbel" w:hAnsi="Corbel" w:cstheme="majorBidi"/>
                <w:b/>
                <w:bCs/>
                <w:color w:val="FFFFFF" w:themeColor="background1"/>
                <w:sz w:val="24"/>
                <w:szCs w:val="24"/>
              </w:rPr>
              <w:t>Décision du conseil</w:t>
            </w:r>
          </w:p>
        </w:tc>
      </w:tr>
      <w:tr w:rsidR="00311441" w:rsidTr="00F91092">
        <w:tc>
          <w:tcPr>
            <w:tcW w:w="1986" w:type="dxa"/>
            <w:shd w:val="clear" w:color="auto" w:fill="DBE5F1" w:themeFill="accent1" w:themeFillTint="33"/>
            <w:vAlign w:val="center"/>
          </w:tcPr>
          <w:p w:rsidR="00311441" w:rsidRDefault="00765FBB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des services publics</w:t>
            </w:r>
          </w:p>
        </w:tc>
        <w:tc>
          <w:tcPr>
            <w:tcW w:w="5102" w:type="dxa"/>
            <w:vAlign w:val="center"/>
          </w:tcPr>
          <w:p w:rsidR="00311441" w:rsidRPr="00A52F1B" w:rsidRDefault="00311441" w:rsidP="002449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ahier des charges relatif à la gestion des services du Théâtre Royal.</w:t>
            </w:r>
          </w:p>
        </w:tc>
        <w:tc>
          <w:tcPr>
            <w:tcW w:w="5954" w:type="dxa"/>
            <w:vAlign w:val="center"/>
          </w:tcPr>
          <w:p w:rsidR="00311441" w:rsidRDefault="00EA6309" w:rsidP="00440C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de principe de la gestion du Théâtre Opéra au Théâtre Royal  conformément au cahi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 xml:space="preserve">er des charges </w:t>
            </w:r>
            <w:r w:rsidR="00440C63">
              <w:rPr>
                <w:rFonts w:asciiTheme="majorBidi" w:hAnsiTheme="majorBidi" w:cstheme="majorBidi"/>
                <w:sz w:val="24"/>
                <w:szCs w:val="24"/>
              </w:rPr>
              <w:t xml:space="preserve">et le </w:t>
            </w:r>
            <w:r w:rsidR="00384663">
              <w:rPr>
                <w:rFonts w:asciiTheme="majorBidi" w:hAnsiTheme="majorBidi" w:cstheme="majorBidi"/>
                <w:sz w:val="24"/>
                <w:szCs w:val="24"/>
              </w:rPr>
              <w:t xml:space="preserve"> présenter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devant le conseil</w:t>
            </w:r>
          </w:p>
        </w:tc>
        <w:tc>
          <w:tcPr>
            <w:tcW w:w="2409" w:type="dxa"/>
            <w:vAlign w:val="center"/>
          </w:tcPr>
          <w:p w:rsidR="00311441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FE3520" w:rsidTr="00F91092">
        <w:trPr>
          <w:trHeight w:val="2246"/>
        </w:trPr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FE3520" w:rsidRPr="00311441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Com. chargée de</w:t>
            </w:r>
          </w:p>
          <w:p w:rsidR="00FE3520" w:rsidRPr="00311441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l'urbanisme, de l'aménagement du</w:t>
            </w:r>
          </w:p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1441">
              <w:rPr>
                <w:rFonts w:asciiTheme="majorBidi" w:hAnsiTheme="majorBidi" w:cstheme="majorBidi"/>
                <w:b/>
                <w:sz w:val="24"/>
                <w:szCs w:val="24"/>
              </w:rPr>
              <w:t>territoire et de l'environnement</w:t>
            </w:r>
          </w:p>
        </w:tc>
        <w:tc>
          <w:tcPr>
            <w:tcW w:w="5102" w:type="dxa"/>
            <w:vAlign w:val="center"/>
          </w:tcPr>
          <w:p w:rsidR="00FE3520" w:rsidRDefault="00FE3520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Nomination de certaines sales et équipements sportifs sis au territoire de la ville de Marrakech.</w:t>
            </w:r>
          </w:p>
          <w:p w:rsidR="00FE3520" w:rsidRPr="006D54B4" w:rsidRDefault="00FE3520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FE3520" w:rsidRDefault="00B60745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Elle donne son accord</w:t>
            </w:r>
            <w:r w:rsidR="007C72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 la nomination</w:t>
            </w:r>
            <w:r w:rsidR="007C7236">
              <w:rPr>
                <w:rFonts w:asciiTheme="majorBidi" w:hAnsiTheme="majorBidi" w:cstheme="majorBidi"/>
                <w:sz w:val="24"/>
                <w:szCs w:val="24"/>
              </w:rPr>
              <w:t xml:space="preserve"> des salles et équipements sportifs comme suit:</w:t>
            </w:r>
          </w:p>
          <w:p w:rsidR="007C7236" w:rsidRPr="00F23C13" w:rsidRDefault="007C7236" w:rsidP="002E22F5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26"/>
            </w:tblGrid>
            <w:tr w:rsidR="007C7236" w:rsidTr="007C7236">
              <w:tc>
                <w:tcPr>
                  <w:tcW w:w="1588" w:type="dxa"/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Salle couverte</w:t>
                  </w:r>
                </w:p>
              </w:tc>
              <w:tc>
                <w:tcPr>
                  <w:tcW w:w="4226" w:type="dxa"/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Nomination proposée</w:t>
                  </w:r>
                </w:p>
              </w:tc>
            </w:tr>
            <w:tr w:rsidR="007C7236" w:rsidTr="007C7236">
              <w:tc>
                <w:tcPr>
                  <w:tcW w:w="1588" w:type="dxa"/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M'hamid</w:t>
                  </w:r>
                </w:p>
              </w:tc>
              <w:tc>
                <w:tcPr>
                  <w:tcW w:w="4226" w:type="dxa"/>
                </w:tcPr>
                <w:p w:rsidR="007C7236" w:rsidRDefault="00440C63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Abdelmoumen ALJAW</w:t>
                  </w:r>
                  <w:r w:rsidR="007C7236">
                    <w:rPr>
                      <w:rFonts w:asciiTheme="majorBidi" w:hAnsiTheme="majorBidi" w:cstheme="majorBidi"/>
                      <w:sz w:val="24"/>
                      <w:szCs w:val="24"/>
                    </w:rPr>
                    <w:t>HARI</w:t>
                  </w:r>
                </w:p>
              </w:tc>
            </w:tr>
            <w:tr w:rsidR="007C7236" w:rsidTr="007C7236">
              <w:tc>
                <w:tcPr>
                  <w:tcW w:w="1588" w:type="dxa"/>
                </w:tcPr>
                <w:p w:rsidR="007C7236" w:rsidRDefault="007C7236" w:rsidP="002E22F5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Azzouzia</w:t>
                  </w:r>
                </w:p>
              </w:tc>
              <w:tc>
                <w:tcPr>
                  <w:tcW w:w="4226" w:type="dxa"/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Ahmed BOU ÂASRIA</w:t>
                  </w:r>
                </w:p>
              </w:tc>
            </w:tr>
            <w:tr w:rsidR="007C7236" w:rsidTr="007C7236">
              <w:tc>
                <w:tcPr>
                  <w:tcW w:w="1588" w:type="dxa"/>
                </w:tcPr>
                <w:p w:rsidR="007C7236" w:rsidRDefault="007C7236" w:rsidP="002E22F5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SYBA</w:t>
                  </w:r>
                </w:p>
              </w:tc>
              <w:tc>
                <w:tcPr>
                  <w:tcW w:w="4226" w:type="dxa"/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</w:t>
                  </w:r>
                  <w:r w:rsidR="00E13918">
                    <w:rPr>
                      <w:rFonts w:asciiTheme="majorBidi" w:hAnsiTheme="majorBidi" w:cstheme="majorBidi"/>
                      <w:sz w:val="24"/>
                      <w:szCs w:val="24"/>
                    </w:rPr>
                    <w:t>Princesse Lalla Khadija</w:t>
                  </w:r>
                </w:p>
              </w:tc>
            </w:tr>
            <w:tr w:rsidR="007C7236" w:rsidTr="007C7236">
              <w:tc>
                <w:tcPr>
                  <w:tcW w:w="1588" w:type="dxa"/>
                  <w:tcBorders>
                    <w:bottom w:val="single" w:sz="4" w:space="0" w:color="000000" w:themeColor="text1"/>
                  </w:tcBorders>
                </w:tcPr>
                <w:p w:rsidR="007C7236" w:rsidRDefault="007C7236" w:rsidP="002E22F5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Annakhil</w:t>
                  </w:r>
                </w:p>
              </w:tc>
              <w:tc>
                <w:tcPr>
                  <w:tcW w:w="4226" w:type="dxa"/>
                  <w:tcBorders>
                    <w:bottom w:val="single" w:sz="4" w:space="0" w:color="000000" w:themeColor="text1"/>
                  </w:tcBorders>
                </w:tcPr>
                <w:p w:rsidR="007C7236" w:rsidRDefault="00E13918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Fatima ÂAWAME</w:t>
                  </w:r>
                </w:p>
              </w:tc>
            </w:tr>
            <w:tr w:rsidR="007C7236" w:rsidTr="007C7236">
              <w:tc>
                <w:tcPr>
                  <w:tcW w:w="1588" w:type="dxa"/>
                  <w:tcBorders>
                    <w:left w:val="nil"/>
                    <w:bottom w:val="nil"/>
                    <w:right w:val="nil"/>
                  </w:tcBorders>
                </w:tcPr>
                <w:p w:rsidR="007C7236" w:rsidRPr="00F23C13" w:rsidRDefault="007C7236" w:rsidP="002E22F5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</w:tc>
              <w:tc>
                <w:tcPr>
                  <w:tcW w:w="4226" w:type="dxa"/>
                  <w:tcBorders>
                    <w:left w:val="nil"/>
                    <w:bottom w:val="nil"/>
                    <w:right w:val="nil"/>
                  </w:tcBorders>
                </w:tcPr>
                <w:p w:rsidR="007C7236" w:rsidRDefault="007C7236" w:rsidP="002E22F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7C7236" w:rsidRDefault="007C7236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24507A"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FE3520" w:rsidTr="00F91092">
        <w:tc>
          <w:tcPr>
            <w:tcW w:w="1986" w:type="dxa"/>
            <w:vMerge/>
            <w:shd w:val="clear" w:color="auto" w:fill="DBE5F1" w:themeFill="accent1" w:themeFillTint="33"/>
            <w:vAlign w:val="center"/>
          </w:tcPr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520" w:rsidRDefault="00FE3520" w:rsidP="002E2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  <w:r w:rsidRPr="006830E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Nomination de certaines avenues, rues et place publiques</w:t>
            </w:r>
            <w:r w:rsidRPr="00E165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sis au territoire de la ville de Marrakech.</w:t>
            </w:r>
          </w:p>
        </w:tc>
        <w:tc>
          <w:tcPr>
            <w:tcW w:w="5954" w:type="dxa"/>
            <w:vAlign w:val="center"/>
          </w:tcPr>
          <w:p w:rsidR="00FE3520" w:rsidRDefault="001B0AF2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des nominations proposées</w:t>
            </w:r>
            <w:r w:rsidR="00BB794D">
              <w:rPr>
                <w:rFonts w:asciiTheme="majorBidi" w:hAnsiTheme="majorBidi" w:cstheme="majorBidi"/>
                <w:sz w:val="24"/>
                <w:szCs w:val="24"/>
              </w:rPr>
              <w:t xml:space="preserve"> indiquées au  rapport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24507A"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FE3520" w:rsidTr="00F91092">
        <w:tc>
          <w:tcPr>
            <w:tcW w:w="1986" w:type="dxa"/>
            <w:vMerge/>
            <w:shd w:val="clear" w:color="auto" w:fill="DBE5F1" w:themeFill="accent1" w:themeFillTint="33"/>
            <w:vAlign w:val="center"/>
          </w:tcPr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520" w:rsidRDefault="00FE3520" w:rsidP="00440C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Instauration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l'arrêté communal réglementant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 xml:space="preserve">la circulation et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="00440C63">
              <w:rPr>
                <w:rFonts w:asciiTheme="majorBidi" w:hAnsiTheme="majorBidi" w:cstheme="majorBidi"/>
                <w:sz w:val="24"/>
                <w:szCs w:val="24"/>
              </w:rPr>
              <w:t xml:space="preserve"> déplacement </w:t>
            </w:r>
            <w:r w:rsidRPr="00F95216">
              <w:rPr>
                <w:rFonts w:asciiTheme="majorBidi" w:hAnsiTheme="majorBidi" w:cstheme="majorBidi"/>
                <w:sz w:val="24"/>
                <w:szCs w:val="24"/>
              </w:rPr>
              <w:t>au sein de la ville de Marrakech</w:t>
            </w:r>
          </w:p>
          <w:p w:rsidR="00FE3520" w:rsidRPr="006D54B4" w:rsidRDefault="00FE3520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FE3520" w:rsidRDefault="001B0AF2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Adoption du projet</w:t>
            </w:r>
            <w:r w:rsidR="00BB794D">
              <w:rPr>
                <w:rFonts w:asciiTheme="majorBidi" w:hAnsiTheme="majorBidi" w:cstheme="majorBidi"/>
                <w:sz w:val="24"/>
                <w:szCs w:val="24"/>
              </w:rPr>
              <w:t xml:space="preserve"> indiqué au rapport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comme il a été présenté devant la commission.</w:t>
            </w: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24507A">
              <w:rPr>
                <w:rFonts w:asciiTheme="majorBidi" w:hAnsiTheme="majorBidi" w:cstheme="majorBidi"/>
                <w:sz w:val="24"/>
                <w:szCs w:val="24"/>
              </w:rPr>
              <w:t>Adoption à l'unanimité</w:t>
            </w:r>
          </w:p>
        </w:tc>
      </w:tr>
      <w:tr w:rsidR="00FE3520" w:rsidTr="00F91092">
        <w:tc>
          <w:tcPr>
            <w:tcW w:w="1986" w:type="dxa"/>
            <w:shd w:val="clear" w:color="auto" w:fill="DBE5F1" w:themeFill="accent1" w:themeFillTint="33"/>
            <w:vAlign w:val="center"/>
          </w:tcPr>
          <w:p w:rsidR="00FE3520" w:rsidRPr="00365BDF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du</w:t>
            </w:r>
          </w:p>
          <w:p w:rsidR="00FE3520" w:rsidRPr="00365BDF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développement humain, des affaires</w:t>
            </w:r>
          </w:p>
          <w:p w:rsidR="00FE3520" w:rsidRPr="00365BDF" w:rsidRDefault="00FE3520" w:rsidP="002E22F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sociales, culturelles et sportives</w:t>
            </w:r>
          </w:p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520" w:rsidRDefault="00FE3520" w:rsidP="00440C6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C02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ccord de principe </w:t>
            </w:r>
            <w:r w:rsidR="00440C63">
              <w:rPr>
                <w:rFonts w:asciiTheme="majorBidi" w:hAnsiTheme="majorBidi" w:cstheme="majorBidi"/>
                <w:sz w:val="24"/>
                <w:szCs w:val="24"/>
              </w:rPr>
              <w:t xml:space="preserve">pour l’adoption d’une </w:t>
            </w:r>
            <w:r w:rsidR="00A96D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convention de jumelage entre la ville de Marrakech et la ville de  </w:t>
            </w:r>
            <w:r w:rsidRPr="00E1651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éville l’Espagne.</w:t>
            </w:r>
          </w:p>
          <w:p w:rsidR="00FE3520" w:rsidRPr="00030A80" w:rsidRDefault="00FE3520" w:rsidP="002E22F5">
            <w:pPr>
              <w:tabs>
                <w:tab w:val="left" w:pos="4650"/>
                <w:tab w:val="right" w:pos="10773"/>
              </w:tabs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(Point inscrit à l’ordre du 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jour </w:t>
            </w:r>
            <w:r w:rsidRPr="00F41C9F">
              <w:rPr>
                <w:rFonts w:asciiTheme="majorBidi" w:hAnsiTheme="majorBidi" w:cstheme="majorBidi"/>
                <w:i/>
                <w:iCs/>
              </w:rPr>
              <w:t>sur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 proposition de l’autorité locale)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>
              <w:rPr>
                <w:rFonts w:asciiTheme="majorBidi" w:hAnsiTheme="majorBidi" w:cstheme="majorBidi"/>
                <w:i/>
                <w:iCs/>
              </w:rPr>
              <w:tab/>
            </w:r>
            <w:r>
              <w:rPr>
                <w:rFonts w:asciiTheme="majorBidi" w:hAnsiTheme="majorBidi" w:cstheme="majorBidi"/>
                <w:i/>
                <w:iCs/>
              </w:rPr>
              <w:tab/>
              <w:t xml:space="preserve">(Point inscrit à l’ordre du 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jour </w:t>
            </w:r>
            <w:r w:rsidRPr="00F41C9F">
              <w:rPr>
                <w:rFonts w:asciiTheme="majorBidi" w:hAnsiTheme="majorBidi" w:cstheme="majorBidi"/>
                <w:i/>
                <w:iCs/>
              </w:rPr>
              <w:t>sur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 proposition de l’autorité locale)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FE3520" w:rsidRPr="00A52F1B" w:rsidRDefault="00FE3520" w:rsidP="002E22F5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vAlign w:val="center"/>
          </w:tcPr>
          <w:p w:rsidR="00FE3520" w:rsidRDefault="000E4BDD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commission </w:t>
            </w:r>
            <w:r w:rsidR="001B0AF2">
              <w:rPr>
                <w:rFonts w:asciiTheme="majorBidi" w:hAnsiTheme="majorBidi" w:cstheme="majorBidi"/>
                <w:sz w:val="24"/>
                <w:szCs w:val="24"/>
              </w:rPr>
              <w:t>n’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est pas encore réunie</w:t>
            </w: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FD07B2">
              <w:rPr>
                <w:rFonts w:asciiTheme="majorBidi" w:hAnsiTheme="majorBidi" w:cstheme="majorBidi"/>
                <w:sz w:val="24"/>
                <w:szCs w:val="24"/>
              </w:rPr>
              <w:t>Report du point Sans débat</w:t>
            </w:r>
          </w:p>
        </w:tc>
      </w:tr>
      <w:tr w:rsidR="00FE3520" w:rsidTr="00F91092">
        <w:tc>
          <w:tcPr>
            <w:tcW w:w="1986" w:type="dxa"/>
            <w:shd w:val="clear" w:color="auto" w:fill="DBE5F1" w:themeFill="accent1" w:themeFillTint="33"/>
            <w:vAlign w:val="center"/>
          </w:tcPr>
          <w:p w:rsidR="00FE3520" w:rsidRDefault="00FE3520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F">
              <w:rPr>
                <w:rFonts w:asciiTheme="majorBidi" w:hAnsiTheme="majorBidi" w:cstheme="majorBidi"/>
                <w:b/>
                <w:sz w:val="24"/>
                <w:szCs w:val="24"/>
              </w:rPr>
              <w:t>Com. chargée des services publics</w:t>
            </w:r>
          </w:p>
        </w:tc>
        <w:tc>
          <w:tcPr>
            <w:tcW w:w="5102" w:type="dxa"/>
          </w:tcPr>
          <w:p w:rsidR="00FE3520" w:rsidRDefault="00FE3520" w:rsidP="006D07A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  <w:r w:rsidRPr="00164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44980">
              <w:rPr>
                <w:rFonts w:asciiTheme="majorBidi" w:hAnsiTheme="majorBidi" w:cstheme="majorBidi"/>
                <w:sz w:val="24"/>
                <w:szCs w:val="24"/>
              </w:rPr>
              <w:t xml:space="preserve"> C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onvention de partenariat </w:t>
            </w:r>
            <w:r w:rsidR="006D07AB">
              <w:rPr>
                <w:rFonts w:asciiTheme="majorBidi" w:hAnsiTheme="majorBidi" w:cstheme="majorBidi"/>
                <w:sz w:val="24"/>
                <w:szCs w:val="24"/>
              </w:rPr>
              <w:t xml:space="preserve">pour  la création d’un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centre de tri</w:t>
            </w:r>
            <w:r w:rsidR="006D07AB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de </w:t>
            </w:r>
            <w:r w:rsidR="006D07AB">
              <w:rPr>
                <w:rFonts w:asciiTheme="majorBidi" w:hAnsiTheme="majorBidi" w:cstheme="majorBidi"/>
                <w:sz w:val="24"/>
                <w:szCs w:val="24"/>
              </w:rPr>
              <w:t xml:space="preserve">recyclage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des déchets</w:t>
            </w:r>
            <w:r w:rsidRPr="00EF22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>ménagers et assimilées à Marrakech entre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 Ministère de l’Intérieur, le Ministère Délégué Chargée de l’environnement, la Wilaya de la Région Tensift Al Houz et</w:t>
            </w:r>
            <w:r w:rsidRPr="0016491D">
              <w:rPr>
                <w:rFonts w:asciiTheme="majorBidi" w:hAnsiTheme="majorBidi" w:cstheme="majorBidi"/>
                <w:sz w:val="24"/>
                <w:szCs w:val="24"/>
              </w:rPr>
              <w:t xml:space="preserve"> la Commune Urbaine de Marrakech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E3520" w:rsidRPr="00A52F1B" w:rsidRDefault="00FE3520" w:rsidP="002E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(Point inscrit à l’ordre du 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jour </w:t>
            </w:r>
            <w:r w:rsidRPr="00F41C9F">
              <w:rPr>
                <w:rFonts w:asciiTheme="majorBidi" w:hAnsiTheme="majorBidi" w:cstheme="majorBidi"/>
                <w:i/>
                <w:iCs/>
              </w:rPr>
              <w:t>sur</w:t>
            </w:r>
            <w:r w:rsidRPr="00B35B62">
              <w:rPr>
                <w:rFonts w:asciiTheme="majorBidi" w:hAnsiTheme="majorBidi" w:cstheme="majorBidi"/>
                <w:i/>
                <w:iCs/>
              </w:rPr>
              <w:t xml:space="preserve"> proposition de </w:t>
            </w:r>
            <w:r w:rsidR="00B347E2" w:rsidRPr="00B35B62">
              <w:rPr>
                <w:rFonts w:asciiTheme="majorBidi" w:hAnsiTheme="majorBidi" w:cstheme="majorBidi"/>
                <w:i/>
                <w:iCs/>
              </w:rPr>
              <w:t>l’autorité locale)</w:t>
            </w:r>
            <w:r w:rsidR="00B347E2">
              <w:rPr>
                <w:rFonts w:asciiTheme="majorBidi" w:hAnsiTheme="majorBidi" w:cstheme="majorBidi"/>
                <w:i/>
                <w:iCs/>
              </w:rPr>
              <w:t>.</w:t>
            </w:r>
          </w:p>
        </w:tc>
        <w:tc>
          <w:tcPr>
            <w:tcW w:w="5954" w:type="dxa"/>
            <w:vAlign w:val="center"/>
          </w:tcPr>
          <w:p w:rsidR="00FE3520" w:rsidRDefault="000E4BDD" w:rsidP="002E22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report pour approfondissement du débat</w:t>
            </w:r>
          </w:p>
        </w:tc>
        <w:tc>
          <w:tcPr>
            <w:tcW w:w="2409" w:type="dxa"/>
            <w:vAlign w:val="center"/>
          </w:tcPr>
          <w:p w:rsidR="00FE3520" w:rsidRDefault="00FE3520" w:rsidP="002E22F5">
            <w:pPr>
              <w:jc w:val="center"/>
            </w:pPr>
            <w:r w:rsidRPr="00FD07B2">
              <w:rPr>
                <w:rFonts w:asciiTheme="majorBidi" w:hAnsiTheme="majorBidi" w:cstheme="majorBidi"/>
                <w:sz w:val="24"/>
                <w:szCs w:val="24"/>
              </w:rPr>
              <w:t>Report du point Sans débat</w:t>
            </w:r>
          </w:p>
        </w:tc>
      </w:tr>
    </w:tbl>
    <w:p w:rsidR="00A52F1B" w:rsidRPr="00CE0D7F" w:rsidRDefault="00A52F1B" w:rsidP="00F91092">
      <w:pPr>
        <w:rPr>
          <w:rFonts w:asciiTheme="majorBidi" w:hAnsiTheme="majorBidi" w:cstheme="majorBidi"/>
          <w:sz w:val="8"/>
          <w:szCs w:val="8"/>
        </w:rPr>
      </w:pPr>
    </w:p>
    <w:sectPr w:rsidR="00A52F1B" w:rsidRPr="00CE0D7F" w:rsidSect="00573B4F">
      <w:footerReference w:type="default" r:id="rId10"/>
      <w:pgSz w:w="16838" w:h="11906" w:orient="landscape" w:code="9"/>
      <w:pgMar w:top="312" w:right="567" w:bottom="227" w:left="1985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CC" w:rsidRDefault="00714ACC" w:rsidP="00331B27">
      <w:pPr>
        <w:spacing w:after="0" w:line="240" w:lineRule="auto"/>
      </w:pPr>
      <w:r>
        <w:separator/>
      </w:r>
    </w:p>
  </w:endnote>
  <w:endnote w:type="continuationSeparator" w:id="0">
    <w:p w:rsidR="00714ACC" w:rsidRDefault="00714ACC" w:rsidP="003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13508"/>
      <w:docPartObj>
        <w:docPartGallery w:val="Page Numbers (Bottom of Page)"/>
        <w:docPartUnique/>
      </w:docPartObj>
    </w:sdtPr>
    <w:sdtContent>
      <w:p w:rsidR="004759D3" w:rsidRDefault="00546FAC" w:rsidP="00815DA1">
        <w:pPr>
          <w:pStyle w:val="Pieddepage"/>
          <w:tabs>
            <w:tab w:val="clear" w:pos="4536"/>
            <w:tab w:val="clear" w:pos="9072"/>
            <w:tab w:val="left" w:pos="666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7425690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7C83" w:rsidRDefault="00317C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6FAC" w:rsidRPr="00546FAC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CFSNlz0CAAB1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317C83" w:rsidRDefault="00317C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6FAC" w:rsidRPr="00546FAC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CC" w:rsidRDefault="00714ACC" w:rsidP="00331B27">
      <w:pPr>
        <w:spacing w:after="0" w:line="240" w:lineRule="auto"/>
      </w:pPr>
      <w:r>
        <w:separator/>
      </w:r>
    </w:p>
  </w:footnote>
  <w:footnote w:type="continuationSeparator" w:id="0">
    <w:p w:rsidR="00714ACC" w:rsidRDefault="00714ACC" w:rsidP="0033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14565_"/>
      </v:shape>
    </w:pict>
  </w:numPicBullet>
  <w:abstractNum w:abstractNumId="0">
    <w:nsid w:val="00C06895"/>
    <w:multiLevelType w:val="hybridMultilevel"/>
    <w:tmpl w:val="B01A8C68"/>
    <w:lvl w:ilvl="0" w:tplc="686449A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E51"/>
    <w:multiLevelType w:val="hybridMultilevel"/>
    <w:tmpl w:val="844843AA"/>
    <w:lvl w:ilvl="0" w:tplc="7B4C7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971"/>
    <w:multiLevelType w:val="hybridMultilevel"/>
    <w:tmpl w:val="23DC1A20"/>
    <w:lvl w:ilvl="0" w:tplc="751E8C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40D85"/>
    <w:multiLevelType w:val="hybridMultilevel"/>
    <w:tmpl w:val="895E3B86"/>
    <w:lvl w:ilvl="0" w:tplc="8B1A0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1F1"/>
    <w:multiLevelType w:val="hybridMultilevel"/>
    <w:tmpl w:val="5100DD96"/>
    <w:lvl w:ilvl="0" w:tplc="908A8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08C"/>
    <w:multiLevelType w:val="hybridMultilevel"/>
    <w:tmpl w:val="CC706444"/>
    <w:lvl w:ilvl="0" w:tplc="924CE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1774"/>
    <w:multiLevelType w:val="hybridMultilevel"/>
    <w:tmpl w:val="52F04398"/>
    <w:lvl w:ilvl="0" w:tplc="901ABA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49C9"/>
    <w:multiLevelType w:val="hybridMultilevel"/>
    <w:tmpl w:val="613CD404"/>
    <w:lvl w:ilvl="0" w:tplc="9C04D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5508"/>
    <w:multiLevelType w:val="hybridMultilevel"/>
    <w:tmpl w:val="EA7077D6"/>
    <w:lvl w:ilvl="0" w:tplc="1D0A75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2FEA"/>
    <w:multiLevelType w:val="hybridMultilevel"/>
    <w:tmpl w:val="FBB2A6F8"/>
    <w:lvl w:ilvl="0" w:tplc="E96A2A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B70D5"/>
    <w:multiLevelType w:val="hybridMultilevel"/>
    <w:tmpl w:val="9576389C"/>
    <w:lvl w:ilvl="0" w:tplc="AFDC0E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BCE"/>
    <w:multiLevelType w:val="hybridMultilevel"/>
    <w:tmpl w:val="7704556E"/>
    <w:lvl w:ilvl="0" w:tplc="2DD00C76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67097F7F"/>
    <w:multiLevelType w:val="hybridMultilevel"/>
    <w:tmpl w:val="EFDA1552"/>
    <w:lvl w:ilvl="0" w:tplc="6F742BC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4C7D"/>
    <w:multiLevelType w:val="hybridMultilevel"/>
    <w:tmpl w:val="7704556E"/>
    <w:lvl w:ilvl="0" w:tplc="2DD00C76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2CE1613"/>
    <w:multiLevelType w:val="hybridMultilevel"/>
    <w:tmpl w:val="691826EC"/>
    <w:lvl w:ilvl="0" w:tplc="E5C697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915FA"/>
    <w:multiLevelType w:val="hybridMultilevel"/>
    <w:tmpl w:val="6028424C"/>
    <w:lvl w:ilvl="0" w:tplc="F3E8D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B7029"/>
    <w:multiLevelType w:val="hybridMultilevel"/>
    <w:tmpl w:val="A5ECBB3A"/>
    <w:lvl w:ilvl="0" w:tplc="2D56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3"/>
    <w:rsid w:val="00003872"/>
    <w:rsid w:val="00007B29"/>
    <w:rsid w:val="00041E0F"/>
    <w:rsid w:val="000433A8"/>
    <w:rsid w:val="00054594"/>
    <w:rsid w:val="00064F49"/>
    <w:rsid w:val="00073ED9"/>
    <w:rsid w:val="000767FC"/>
    <w:rsid w:val="000A15C8"/>
    <w:rsid w:val="000A3AD4"/>
    <w:rsid w:val="000B5DD9"/>
    <w:rsid w:val="000D677B"/>
    <w:rsid w:val="000E4BDD"/>
    <w:rsid w:val="000F1E02"/>
    <w:rsid w:val="000F408A"/>
    <w:rsid w:val="000F6514"/>
    <w:rsid w:val="000F6FEC"/>
    <w:rsid w:val="00113645"/>
    <w:rsid w:val="00122C19"/>
    <w:rsid w:val="001272F8"/>
    <w:rsid w:val="0013195A"/>
    <w:rsid w:val="0014795F"/>
    <w:rsid w:val="0015453D"/>
    <w:rsid w:val="00155AE1"/>
    <w:rsid w:val="001707F7"/>
    <w:rsid w:val="00175319"/>
    <w:rsid w:val="00193DF4"/>
    <w:rsid w:val="00196F99"/>
    <w:rsid w:val="001A5CEB"/>
    <w:rsid w:val="001B0AF2"/>
    <w:rsid w:val="001B6A13"/>
    <w:rsid w:val="001B792E"/>
    <w:rsid w:val="001C77A0"/>
    <w:rsid w:val="001C7BD3"/>
    <w:rsid w:val="001D54A5"/>
    <w:rsid w:val="001E4DDA"/>
    <w:rsid w:val="001F4381"/>
    <w:rsid w:val="0020486F"/>
    <w:rsid w:val="0021448A"/>
    <w:rsid w:val="002243F1"/>
    <w:rsid w:val="00235E77"/>
    <w:rsid w:val="002427C4"/>
    <w:rsid w:val="002447E8"/>
    <w:rsid w:val="00244980"/>
    <w:rsid w:val="00246A6F"/>
    <w:rsid w:val="00251B2B"/>
    <w:rsid w:val="00252360"/>
    <w:rsid w:val="002537D1"/>
    <w:rsid w:val="00261B5D"/>
    <w:rsid w:val="002853C3"/>
    <w:rsid w:val="002915EF"/>
    <w:rsid w:val="0029571F"/>
    <w:rsid w:val="002A25D1"/>
    <w:rsid w:val="002A28E7"/>
    <w:rsid w:val="002A70EA"/>
    <w:rsid w:val="002C55F0"/>
    <w:rsid w:val="002D7C9D"/>
    <w:rsid w:val="002E22F5"/>
    <w:rsid w:val="002F363E"/>
    <w:rsid w:val="00307A16"/>
    <w:rsid w:val="00311441"/>
    <w:rsid w:val="00317C83"/>
    <w:rsid w:val="00320AED"/>
    <w:rsid w:val="00320E1B"/>
    <w:rsid w:val="00323349"/>
    <w:rsid w:val="003306BB"/>
    <w:rsid w:val="00331B27"/>
    <w:rsid w:val="003425E4"/>
    <w:rsid w:val="00356AE3"/>
    <w:rsid w:val="00357D07"/>
    <w:rsid w:val="00362637"/>
    <w:rsid w:val="00365BDF"/>
    <w:rsid w:val="003724FD"/>
    <w:rsid w:val="00382E6C"/>
    <w:rsid w:val="00384663"/>
    <w:rsid w:val="003859DF"/>
    <w:rsid w:val="00397676"/>
    <w:rsid w:val="003B0ACD"/>
    <w:rsid w:val="003C0851"/>
    <w:rsid w:val="00401460"/>
    <w:rsid w:val="00417BD1"/>
    <w:rsid w:val="00440C63"/>
    <w:rsid w:val="00443E40"/>
    <w:rsid w:val="00450478"/>
    <w:rsid w:val="0046001A"/>
    <w:rsid w:val="00461417"/>
    <w:rsid w:val="004652AF"/>
    <w:rsid w:val="004726AC"/>
    <w:rsid w:val="004759D3"/>
    <w:rsid w:val="0047638A"/>
    <w:rsid w:val="00480A20"/>
    <w:rsid w:val="00482C35"/>
    <w:rsid w:val="00487616"/>
    <w:rsid w:val="004876BE"/>
    <w:rsid w:val="00487AB8"/>
    <w:rsid w:val="00487FCE"/>
    <w:rsid w:val="00496C6D"/>
    <w:rsid w:val="004A38C1"/>
    <w:rsid w:val="004B1AD5"/>
    <w:rsid w:val="004B1F2B"/>
    <w:rsid w:val="004C1435"/>
    <w:rsid w:val="004C2B07"/>
    <w:rsid w:val="004C2CB8"/>
    <w:rsid w:val="004E369E"/>
    <w:rsid w:val="004E595F"/>
    <w:rsid w:val="004F173F"/>
    <w:rsid w:val="00504AC1"/>
    <w:rsid w:val="00506EFD"/>
    <w:rsid w:val="005123B4"/>
    <w:rsid w:val="005156E2"/>
    <w:rsid w:val="005239B6"/>
    <w:rsid w:val="0053521F"/>
    <w:rsid w:val="00535FA4"/>
    <w:rsid w:val="005451A3"/>
    <w:rsid w:val="00546FAC"/>
    <w:rsid w:val="00563A0C"/>
    <w:rsid w:val="00573B4F"/>
    <w:rsid w:val="00573BF2"/>
    <w:rsid w:val="005751D0"/>
    <w:rsid w:val="00580E89"/>
    <w:rsid w:val="005852F9"/>
    <w:rsid w:val="005A74F5"/>
    <w:rsid w:val="005C1B4F"/>
    <w:rsid w:val="005C7EB4"/>
    <w:rsid w:val="005D2A85"/>
    <w:rsid w:val="005E21DD"/>
    <w:rsid w:val="005E263C"/>
    <w:rsid w:val="005E6D39"/>
    <w:rsid w:val="005F4EB6"/>
    <w:rsid w:val="005F6692"/>
    <w:rsid w:val="006012F7"/>
    <w:rsid w:val="00601460"/>
    <w:rsid w:val="00610F4F"/>
    <w:rsid w:val="00615F62"/>
    <w:rsid w:val="0062023C"/>
    <w:rsid w:val="0064408C"/>
    <w:rsid w:val="00644722"/>
    <w:rsid w:val="0066022E"/>
    <w:rsid w:val="0066317B"/>
    <w:rsid w:val="0067376A"/>
    <w:rsid w:val="006B1AF1"/>
    <w:rsid w:val="006B6A56"/>
    <w:rsid w:val="006C4376"/>
    <w:rsid w:val="006C4950"/>
    <w:rsid w:val="006D07AB"/>
    <w:rsid w:val="006D086D"/>
    <w:rsid w:val="006D54B4"/>
    <w:rsid w:val="006E0A8B"/>
    <w:rsid w:val="006F2380"/>
    <w:rsid w:val="006F3A2B"/>
    <w:rsid w:val="006F4078"/>
    <w:rsid w:val="00714ACC"/>
    <w:rsid w:val="00715C76"/>
    <w:rsid w:val="00717FCA"/>
    <w:rsid w:val="00750E38"/>
    <w:rsid w:val="00765FBB"/>
    <w:rsid w:val="00781AA5"/>
    <w:rsid w:val="00782FA2"/>
    <w:rsid w:val="007863B7"/>
    <w:rsid w:val="0079195B"/>
    <w:rsid w:val="00795585"/>
    <w:rsid w:val="007957F1"/>
    <w:rsid w:val="00796C77"/>
    <w:rsid w:val="007C5741"/>
    <w:rsid w:val="007C7236"/>
    <w:rsid w:val="007D2E99"/>
    <w:rsid w:val="007E19C4"/>
    <w:rsid w:val="007E2A41"/>
    <w:rsid w:val="0080351D"/>
    <w:rsid w:val="00806F0F"/>
    <w:rsid w:val="00811290"/>
    <w:rsid w:val="00815DA1"/>
    <w:rsid w:val="0082382A"/>
    <w:rsid w:val="00831BD2"/>
    <w:rsid w:val="008560BB"/>
    <w:rsid w:val="00856696"/>
    <w:rsid w:val="008607C5"/>
    <w:rsid w:val="00871608"/>
    <w:rsid w:val="00891AC8"/>
    <w:rsid w:val="008B2360"/>
    <w:rsid w:val="008B5EA0"/>
    <w:rsid w:val="008B6618"/>
    <w:rsid w:val="008C0D0D"/>
    <w:rsid w:val="008C2B51"/>
    <w:rsid w:val="008E2F66"/>
    <w:rsid w:val="00902658"/>
    <w:rsid w:val="00912876"/>
    <w:rsid w:val="00915B1E"/>
    <w:rsid w:val="00941007"/>
    <w:rsid w:val="00941416"/>
    <w:rsid w:val="0094366E"/>
    <w:rsid w:val="00954D8F"/>
    <w:rsid w:val="009570E2"/>
    <w:rsid w:val="00963ECD"/>
    <w:rsid w:val="00967660"/>
    <w:rsid w:val="00974447"/>
    <w:rsid w:val="0097549F"/>
    <w:rsid w:val="00977100"/>
    <w:rsid w:val="009838AC"/>
    <w:rsid w:val="009B088B"/>
    <w:rsid w:val="009B1E46"/>
    <w:rsid w:val="009B5C7D"/>
    <w:rsid w:val="009C1A07"/>
    <w:rsid w:val="009C40F1"/>
    <w:rsid w:val="009E3857"/>
    <w:rsid w:val="009E4790"/>
    <w:rsid w:val="00A0005B"/>
    <w:rsid w:val="00A03632"/>
    <w:rsid w:val="00A04C96"/>
    <w:rsid w:val="00A113AB"/>
    <w:rsid w:val="00A11D27"/>
    <w:rsid w:val="00A12D06"/>
    <w:rsid w:val="00A13FD1"/>
    <w:rsid w:val="00A375E2"/>
    <w:rsid w:val="00A437D6"/>
    <w:rsid w:val="00A52410"/>
    <w:rsid w:val="00A52626"/>
    <w:rsid w:val="00A52F1B"/>
    <w:rsid w:val="00A615CC"/>
    <w:rsid w:val="00A71030"/>
    <w:rsid w:val="00A71882"/>
    <w:rsid w:val="00A82EC2"/>
    <w:rsid w:val="00A96DBA"/>
    <w:rsid w:val="00AA16C6"/>
    <w:rsid w:val="00AA3640"/>
    <w:rsid w:val="00AE4FD3"/>
    <w:rsid w:val="00AE6C2F"/>
    <w:rsid w:val="00AF556C"/>
    <w:rsid w:val="00B0699E"/>
    <w:rsid w:val="00B178DD"/>
    <w:rsid w:val="00B224E3"/>
    <w:rsid w:val="00B26C5A"/>
    <w:rsid w:val="00B347E2"/>
    <w:rsid w:val="00B50FE4"/>
    <w:rsid w:val="00B529FB"/>
    <w:rsid w:val="00B60745"/>
    <w:rsid w:val="00B6100E"/>
    <w:rsid w:val="00B6402E"/>
    <w:rsid w:val="00B866EC"/>
    <w:rsid w:val="00B953F5"/>
    <w:rsid w:val="00B97F1A"/>
    <w:rsid w:val="00BA0DE5"/>
    <w:rsid w:val="00BB794D"/>
    <w:rsid w:val="00BC2C8F"/>
    <w:rsid w:val="00BC600A"/>
    <w:rsid w:val="00BD5649"/>
    <w:rsid w:val="00BE5449"/>
    <w:rsid w:val="00BE5C63"/>
    <w:rsid w:val="00BF00B5"/>
    <w:rsid w:val="00BF6D68"/>
    <w:rsid w:val="00C135E6"/>
    <w:rsid w:val="00C23B0B"/>
    <w:rsid w:val="00C3744E"/>
    <w:rsid w:val="00C439CD"/>
    <w:rsid w:val="00C442A4"/>
    <w:rsid w:val="00C46FB2"/>
    <w:rsid w:val="00C62FC1"/>
    <w:rsid w:val="00C73E45"/>
    <w:rsid w:val="00C80E77"/>
    <w:rsid w:val="00C94B35"/>
    <w:rsid w:val="00CA00D3"/>
    <w:rsid w:val="00CA29EF"/>
    <w:rsid w:val="00CA39F8"/>
    <w:rsid w:val="00CA4D9B"/>
    <w:rsid w:val="00CB33BC"/>
    <w:rsid w:val="00CB4542"/>
    <w:rsid w:val="00CB52CD"/>
    <w:rsid w:val="00CC3081"/>
    <w:rsid w:val="00CE00C1"/>
    <w:rsid w:val="00CE0D7F"/>
    <w:rsid w:val="00CF4BED"/>
    <w:rsid w:val="00CF72D2"/>
    <w:rsid w:val="00D027C6"/>
    <w:rsid w:val="00D16A11"/>
    <w:rsid w:val="00D21881"/>
    <w:rsid w:val="00D44E61"/>
    <w:rsid w:val="00D5407D"/>
    <w:rsid w:val="00D55CC3"/>
    <w:rsid w:val="00D62777"/>
    <w:rsid w:val="00D643A8"/>
    <w:rsid w:val="00D7021C"/>
    <w:rsid w:val="00DB0933"/>
    <w:rsid w:val="00DB0A00"/>
    <w:rsid w:val="00DB4186"/>
    <w:rsid w:val="00DC2FDF"/>
    <w:rsid w:val="00DC3EBE"/>
    <w:rsid w:val="00DC68B2"/>
    <w:rsid w:val="00DD36A5"/>
    <w:rsid w:val="00E13918"/>
    <w:rsid w:val="00E360A9"/>
    <w:rsid w:val="00E65D2E"/>
    <w:rsid w:val="00E7074E"/>
    <w:rsid w:val="00E72669"/>
    <w:rsid w:val="00E77DFD"/>
    <w:rsid w:val="00E8425D"/>
    <w:rsid w:val="00E95A00"/>
    <w:rsid w:val="00EA3559"/>
    <w:rsid w:val="00EA53C5"/>
    <w:rsid w:val="00EA6309"/>
    <w:rsid w:val="00EA6BD8"/>
    <w:rsid w:val="00EC05E4"/>
    <w:rsid w:val="00ED24C4"/>
    <w:rsid w:val="00EF6360"/>
    <w:rsid w:val="00F066EB"/>
    <w:rsid w:val="00F067F8"/>
    <w:rsid w:val="00F06F29"/>
    <w:rsid w:val="00F22CA3"/>
    <w:rsid w:val="00F23C13"/>
    <w:rsid w:val="00F360C6"/>
    <w:rsid w:val="00F36BCC"/>
    <w:rsid w:val="00F45336"/>
    <w:rsid w:val="00F51EC9"/>
    <w:rsid w:val="00F60807"/>
    <w:rsid w:val="00F61EA7"/>
    <w:rsid w:val="00F65BBD"/>
    <w:rsid w:val="00F72481"/>
    <w:rsid w:val="00F8332D"/>
    <w:rsid w:val="00F83453"/>
    <w:rsid w:val="00F91092"/>
    <w:rsid w:val="00FC1FE5"/>
    <w:rsid w:val="00FD19D3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4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C2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B27"/>
  </w:style>
  <w:style w:type="paragraph" w:styleId="Pieddepage">
    <w:name w:val="footer"/>
    <w:basedOn w:val="Normal"/>
    <w:link w:val="PieddepageCar"/>
    <w:uiPriority w:val="99"/>
    <w:unhideWhenUsed/>
    <w:rsid w:val="0033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B27"/>
  </w:style>
  <w:style w:type="character" w:customStyle="1" w:styleId="st">
    <w:name w:val="st"/>
    <w:basedOn w:val="Policepardfaut"/>
    <w:rsid w:val="00D44E61"/>
  </w:style>
  <w:style w:type="character" w:customStyle="1" w:styleId="shorttext">
    <w:name w:val="short_text"/>
    <w:basedOn w:val="Policepardfaut"/>
    <w:rsid w:val="00B953F5"/>
  </w:style>
  <w:style w:type="character" w:customStyle="1" w:styleId="hps">
    <w:name w:val="hps"/>
    <w:basedOn w:val="Policepardfaut"/>
    <w:rsid w:val="00B9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4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C2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B27"/>
  </w:style>
  <w:style w:type="paragraph" w:styleId="Pieddepage">
    <w:name w:val="footer"/>
    <w:basedOn w:val="Normal"/>
    <w:link w:val="PieddepageCar"/>
    <w:uiPriority w:val="99"/>
    <w:unhideWhenUsed/>
    <w:rsid w:val="0033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B27"/>
  </w:style>
  <w:style w:type="character" w:customStyle="1" w:styleId="st">
    <w:name w:val="st"/>
    <w:basedOn w:val="Policepardfaut"/>
    <w:rsid w:val="00D44E61"/>
  </w:style>
  <w:style w:type="character" w:customStyle="1" w:styleId="shorttext">
    <w:name w:val="short_text"/>
    <w:basedOn w:val="Policepardfaut"/>
    <w:rsid w:val="00B953F5"/>
  </w:style>
  <w:style w:type="character" w:customStyle="1" w:styleId="hps">
    <w:name w:val="hps"/>
    <w:basedOn w:val="Policepardfaut"/>
    <w:rsid w:val="00B9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CAUQjhw&amp;url=http%3A%2F%2Falwadifa-2009-2010.blogspot.com%2F2010%2F11%2Fdirection-generale-de-la-surete_11.html&amp;ei=ZElHVa_7DpDtasD3gcgL&amp;bvm=bv.92291466,d.ZGU&amp;psig=AFQjCNF_wF1GKWcjxOWv9ukFlfSls6-ahg&amp;ust=14308215592094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C43E-EACB-4A4C-8949-5B44A5D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PC HP</cp:lastModifiedBy>
  <cp:revision>2</cp:revision>
  <cp:lastPrinted>2015-05-27T13:01:00Z</cp:lastPrinted>
  <dcterms:created xsi:type="dcterms:W3CDTF">2015-05-28T10:59:00Z</dcterms:created>
  <dcterms:modified xsi:type="dcterms:W3CDTF">2015-05-28T10:59:00Z</dcterms:modified>
</cp:coreProperties>
</file>