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56"/>
        <w:tblW w:w="10815" w:type="dxa"/>
        <w:tblLook w:val="04A0"/>
      </w:tblPr>
      <w:tblGrid>
        <w:gridCol w:w="292"/>
        <w:gridCol w:w="258"/>
        <w:gridCol w:w="10265"/>
      </w:tblGrid>
      <w:tr w:rsidR="00D976EB" w:rsidRPr="00E86CF3" w:rsidTr="00353ED4">
        <w:trPr>
          <w:trHeight w:val="1553"/>
        </w:trPr>
        <w:tc>
          <w:tcPr>
            <w:tcW w:w="4788" w:type="dxa"/>
          </w:tcPr>
          <w:p w:rsidR="00D976EB" w:rsidRPr="00E86CF3" w:rsidRDefault="00D976EB" w:rsidP="0014781F">
            <w:pPr>
              <w:rPr>
                <w:rStyle w:val="Accentuation"/>
                <w:u w:val="single"/>
                <w:lang w:bidi="ar-MA"/>
              </w:rPr>
            </w:pPr>
          </w:p>
        </w:tc>
        <w:tc>
          <w:tcPr>
            <w:tcW w:w="2569" w:type="dxa"/>
          </w:tcPr>
          <w:p w:rsidR="00D976EB" w:rsidRPr="00E86CF3" w:rsidRDefault="00D976EB" w:rsidP="0014781F">
            <w:pPr>
              <w:rPr>
                <w:rStyle w:val="Accentuation"/>
              </w:rPr>
            </w:pPr>
          </w:p>
        </w:tc>
        <w:tc>
          <w:tcPr>
            <w:tcW w:w="3458" w:type="dxa"/>
            <w:hideMark/>
          </w:tcPr>
          <w:tbl>
            <w:tblPr>
              <w:tblW w:w="9657" w:type="dxa"/>
              <w:tblInd w:w="392" w:type="dxa"/>
              <w:tblLook w:val="04A0"/>
            </w:tblPr>
            <w:tblGrid>
              <w:gridCol w:w="3397"/>
              <w:gridCol w:w="2394"/>
              <w:gridCol w:w="3866"/>
            </w:tblGrid>
            <w:tr w:rsidR="008116E5" w:rsidRPr="00F57C9C" w:rsidTr="008116E5">
              <w:trPr>
                <w:trHeight w:val="1023"/>
              </w:trPr>
              <w:tc>
                <w:tcPr>
                  <w:tcW w:w="3397" w:type="dxa"/>
                </w:tcPr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lang w:val="fr-FR" w:eastAsia="fr-FR"/>
                    </w:rPr>
                  </w:pPr>
                  <w:r w:rsidRPr="003C77A9">
                    <w:rPr>
                      <w:lang w:val="fr-FR" w:eastAsia="fr-FR"/>
                    </w:rPr>
                    <w:t>ROYAUME DU MAROC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lang w:val="fr-FR" w:eastAsia="fr-FR"/>
                    </w:rPr>
                  </w:pPr>
                  <w:r w:rsidRPr="003C77A9">
                    <w:rPr>
                      <w:sz w:val="18"/>
                      <w:szCs w:val="18"/>
                      <w:lang w:val="fr-FR" w:eastAsia="fr-FR"/>
                    </w:rPr>
                    <w:t>Minist</w:t>
                  </w:r>
                  <w:r>
                    <w:rPr>
                      <w:sz w:val="18"/>
                      <w:szCs w:val="18"/>
                      <w:lang w:val="fr-FR" w:eastAsia="fr-FR"/>
                    </w:rPr>
                    <w:t>èr</w:t>
                  </w:r>
                  <w:r w:rsidRPr="003C77A9">
                    <w:rPr>
                      <w:sz w:val="18"/>
                      <w:szCs w:val="18"/>
                      <w:lang w:val="fr-FR" w:eastAsia="fr-FR"/>
                    </w:rPr>
                    <w:t>e de l’intérieur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lang w:val="fr-FR" w:eastAsia="fr-FR"/>
                    </w:rPr>
                  </w:pPr>
                  <w:r w:rsidRPr="003C77A9">
                    <w:rPr>
                      <w:sz w:val="18"/>
                      <w:szCs w:val="18"/>
                      <w:lang w:val="fr-FR" w:eastAsia="fr-FR"/>
                    </w:rPr>
                    <w:t>Wilaya de la région Marrakech S</w:t>
                  </w:r>
                  <w:r>
                    <w:rPr>
                      <w:sz w:val="18"/>
                      <w:szCs w:val="18"/>
                      <w:lang w:val="fr-FR" w:eastAsia="fr-FR"/>
                    </w:rPr>
                    <w:t>a</w:t>
                  </w:r>
                  <w:r w:rsidRPr="003C77A9">
                    <w:rPr>
                      <w:sz w:val="18"/>
                      <w:szCs w:val="18"/>
                      <w:lang w:val="fr-FR" w:eastAsia="fr-FR"/>
                    </w:rPr>
                    <w:t>fi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lang w:val="fr-FR" w:eastAsia="fr-FR"/>
                    </w:rPr>
                  </w:pPr>
                  <w:r w:rsidRPr="003C77A9">
                    <w:rPr>
                      <w:sz w:val="18"/>
                      <w:szCs w:val="18"/>
                      <w:lang w:val="fr-FR" w:eastAsia="fr-FR"/>
                    </w:rPr>
                    <w:t>Et préfecture de Marrakech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lang w:val="fr-FR" w:eastAsia="fr-FR"/>
                    </w:rPr>
                  </w:pPr>
                  <w:r w:rsidRPr="003C77A9">
                    <w:rPr>
                      <w:sz w:val="18"/>
                      <w:szCs w:val="18"/>
                      <w:lang w:val="fr-FR" w:eastAsia="fr-FR"/>
                    </w:rPr>
                    <w:t>Commune Urbaine de Marrakech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u w:val="single"/>
                      <w:rtl/>
                      <w:lang w:val="fr-FR" w:eastAsia="fr-FR"/>
                    </w:rPr>
                  </w:pPr>
                  <w:r w:rsidRPr="003C77A9">
                    <w:rPr>
                      <w:sz w:val="18"/>
                      <w:szCs w:val="18"/>
                      <w:u w:val="single"/>
                      <w:lang w:val="fr-FR" w:eastAsia="fr-FR"/>
                    </w:rPr>
                    <w:t>Direction général des services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u w:val="single"/>
                      <w:rtl/>
                      <w:lang w:val="fr-FR" w:eastAsia="fr-FR"/>
                    </w:rPr>
                  </w:pPr>
                  <w:r w:rsidRPr="003C77A9">
                    <w:rPr>
                      <w:sz w:val="18"/>
                      <w:szCs w:val="18"/>
                      <w:u w:val="single"/>
                      <w:lang w:val="fr-FR" w:eastAsia="fr-FR"/>
                    </w:rPr>
                    <w:t xml:space="preserve">division de </w:t>
                  </w:r>
                  <w:r>
                    <w:rPr>
                      <w:sz w:val="18"/>
                      <w:szCs w:val="18"/>
                      <w:u w:val="single"/>
                      <w:lang w:val="fr-FR" w:eastAsia="fr-FR"/>
                    </w:rPr>
                    <w:t>gestion</w:t>
                  </w:r>
                  <w:r w:rsidRPr="003C77A9">
                    <w:rPr>
                      <w:sz w:val="18"/>
                      <w:szCs w:val="18"/>
                      <w:u w:val="single"/>
                      <w:lang w:val="fr-FR" w:eastAsia="fr-FR"/>
                    </w:rPr>
                    <w:t xml:space="preserve"> du Patrimoine Communal</w:t>
                  </w:r>
                </w:p>
                <w:p w:rsidR="008116E5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u w:val="single"/>
                      <w:rtl/>
                      <w:lang w:val="fr-FR" w:eastAsia="fr-FR"/>
                    </w:rPr>
                  </w:pPr>
                  <w:r>
                    <w:rPr>
                      <w:sz w:val="18"/>
                      <w:szCs w:val="18"/>
                      <w:u w:val="single"/>
                      <w:lang w:val="fr-FR" w:eastAsia="fr-FR"/>
                    </w:rPr>
                    <w:t>service d’occupation du</w:t>
                  </w:r>
                  <w:r w:rsidRPr="003C77A9">
                    <w:rPr>
                      <w:sz w:val="18"/>
                      <w:szCs w:val="18"/>
                      <w:u w:val="single"/>
                      <w:lang w:val="fr-FR" w:eastAsia="fr-FR"/>
                    </w:rPr>
                    <w:t xml:space="preserve"> Patrimoine Communal </w:t>
                  </w:r>
                  <w:r>
                    <w:rPr>
                      <w:sz w:val="18"/>
                      <w:szCs w:val="18"/>
                      <w:u w:val="single"/>
                      <w:lang w:val="fr-FR" w:eastAsia="fr-FR"/>
                    </w:rPr>
                    <w:t>public</w:t>
                  </w:r>
                </w:p>
                <w:p w:rsidR="008116E5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u w:val="single"/>
                      <w:rtl/>
                      <w:lang w:val="fr-FR" w:eastAsia="fr-FR"/>
                    </w:rPr>
                  </w:pP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sz w:val="18"/>
                      <w:szCs w:val="18"/>
                      <w:u w:val="single"/>
                      <w:lang w:val="fr-FR" w:eastAsia="fr-FR"/>
                    </w:rPr>
                  </w:pPr>
                </w:p>
                <w:p w:rsidR="008116E5" w:rsidRPr="00D44312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u w:val="single"/>
                      <w:lang w:val="fr-FR" w:eastAsia="fr-FR"/>
                    </w:rPr>
                  </w:pPr>
                </w:p>
              </w:tc>
              <w:tc>
                <w:tcPr>
                  <w:tcW w:w="2394" w:type="dxa"/>
                </w:tcPr>
                <w:p w:rsidR="008116E5" w:rsidRPr="0051661A" w:rsidRDefault="008116E5" w:rsidP="00210A1D">
                  <w:pPr>
                    <w:framePr w:hSpace="141" w:wrap="around" w:vAnchor="page" w:hAnchor="margin" w:xAlign="center" w:y="556"/>
                    <w:tabs>
                      <w:tab w:val="left" w:pos="10800"/>
                    </w:tabs>
                    <w:bidi w:val="0"/>
                    <w:ind w:right="-108"/>
                    <w:rPr>
                      <w:b/>
                      <w:bCs/>
                      <w:i/>
                      <w:iCs/>
                      <w:lang w:val="fr-FR" w:eastAsia="fr-FR"/>
                    </w:rPr>
                  </w:pPr>
                  <w:r w:rsidRPr="0051661A">
                    <w:rPr>
                      <w:b/>
                      <w:bCs/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202565</wp:posOffset>
                        </wp:positionH>
                        <wp:positionV relativeFrom="paragraph">
                          <wp:posOffset>58420</wp:posOffset>
                        </wp:positionV>
                        <wp:extent cx="628650" cy="1046480"/>
                        <wp:effectExtent l="0" t="0" r="0" b="1270"/>
                        <wp:wrapNone/>
                        <wp:docPr id="5" name="Image 1" descr="Logo_commune_marrake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_commune_marrake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046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66" w:type="dxa"/>
                  <w:hideMark/>
                </w:tcPr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rtl/>
                      <w:lang w:val="fr-FR" w:eastAsia="fr-FR" w:bidi="ar-MA"/>
                    </w:rPr>
                  </w:pPr>
                  <w:r w:rsidRPr="003C77A9">
                    <w:rPr>
                      <w:noProof/>
                      <w:rtl/>
                      <w:lang w:val="fr-FR" w:eastAsia="fr-FR" w:bidi="ar-MA"/>
                    </w:rPr>
                    <w:t>ا</w:t>
                  </w:r>
                  <w:r w:rsidRPr="003C77A9">
                    <w:rPr>
                      <w:noProof/>
                      <w:rtl/>
                      <w:lang w:val="fr-FR" w:eastAsia="fr-FR"/>
                    </w:rPr>
                    <w:t>لمملكة المغربية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rtl/>
                      <w:lang w:val="fr-FR" w:eastAsia="fr-FR"/>
                    </w:rPr>
                  </w:pPr>
                  <w:r w:rsidRPr="003C77A9">
                    <w:rPr>
                      <w:rFonts w:hint="cs"/>
                      <w:noProof/>
                      <w:rtl/>
                      <w:lang w:val="fr-FR" w:eastAsia="fr-FR"/>
                    </w:rPr>
                    <w:t>وزارة الداخلية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lang w:val="fr-FR" w:eastAsia="fr-FR" w:bidi="ar-MA"/>
                    </w:rPr>
                  </w:pPr>
                  <w:r w:rsidRPr="003C77A9">
                    <w:rPr>
                      <w:rFonts w:hint="cs"/>
                      <w:noProof/>
                      <w:rtl/>
                      <w:lang w:val="fr-FR" w:eastAsia="fr-FR"/>
                    </w:rPr>
                    <w:t>ولاية</w:t>
                  </w:r>
                  <w:r w:rsidRPr="003C77A9">
                    <w:rPr>
                      <w:rFonts w:hint="cs"/>
                      <w:noProof/>
                      <w:rtl/>
                      <w:lang w:val="fr-FR" w:eastAsia="fr-FR" w:bidi="ar-MA"/>
                    </w:rPr>
                    <w:t xml:space="preserve"> جهة </w:t>
                  </w:r>
                  <w:r w:rsidRPr="003C77A9">
                    <w:rPr>
                      <w:rFonts w:hint="cs"/>
                      <w:noProof/>
                      <w:rtl/>
                      <w:lang w:val="fr-FR" w:eastAsia="fr-FR"/>
                    </w:rPr>
                    <w:t xml:space="preserve"> مراكش </w:t>
                  </w:r>
                  <w:r w:rsidRPr="003C77A9">
                    <w:rPr>
                      <w:rFonts w:hint="cs"/>
                      <w:noProof/>
                      <w:rtl/>
                      <w:lang w:val="fr-FR" w:eastAsia="fr-FR" w:bidi="ar-MA"/>
                    </w:rPr>
                    <w:t>اسفي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rtl/>
                      <w:lang w:val="fr-FR" w:eastAsia="fr-FR" w:bidi="ar-MA"/>
                    </w:rPr>
                  </w:pPr>
                  <w:r w:rsidRPr="003C77A9">
                    <w:rPr>
                      <w:rFonts w:hint="cs"/>
                      <w:noProof/>
                      <w:rtl/>
                      <w:lang w:val="fr-FR" w:eastAsia="fr-FR" w:bidi="ar-MA"/>
                    </w:rPr>
                    <w:t>وعمالة مراكش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rtl/>
                      <w:lang w:val="fr-FR" w:eastAsia="fr-FR"/>
                    </w:rPr>
                  </w:pPr>
                  <w:r w:rsidRPr="003C77A9">
                    <w:rPr>
                      <w:rFonts w:hint="cs"/>
                      <w:noProof/>
                      <w:rtl/>
                      <w:lang w:val="fr-FR" w:eastAsia="fr-FR"/>
                    </w:rPr>
                    <w:t>المجلس الجماعي</w:t>
                  </w:r>
                  <w:r w:rsidRPr="003C77A9">
                    <w:rPr>
                      <w:noProof/>
                      <w:rtl/>
                      <w:lang w:val="fr-FR" w:eastAsia="fr-FR"/>
                    </w:rPr>
                    <w:t xml:space="preserve"> لمدينة مراكش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rtl/>
                      <w:lang w:val="fr-FR" w:eastAsia="fr-FR"/>
                    </w:rPr>
                  </w:pPr>
                  <w:r w:rsidRPr="003C77A9">
                    <w:rPr>
                      <w:rFonts w:hint="cs"/>
                      <w:noProof/>
                      <w:rtl/>
                      <w:lang w:val="fr-FR" w:eastAsia="fr-FR"/>
                    </w:rPr>
                    <w:t>المديرية العامة للمصالح</w:t>
                  </w:r>
                </w:p>
                <w:p w:rsidR="008116E5" w:rsidRPr="003C77A9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u w:val="single"/>
                      <w:rtl/>
                      <w:lang w:val="fr-FR" w:eastAsia="fr-FR"/>
                    </w:rPr>
                  </w:pPr>
                  <w:r w:rsidRPr="003C77A9">
                    <w:rPr>
                      <w:noProof/>
                      <w:u w:val="single"/>
                      <w:rtl/>
                      <w:lang w:val="fr-FR" w:eastAsia="fr-FR"/>
                    </w:rPr>
                    <w:t>قسم الممتلكات الجماعية</w:t>
                  </w:r>
                </w:p>
                <w:p w:rsidR="008116E5" w:rsidRDefault="008116E5" w:rsidP="00210A1D">
                  <w:pPr>
                    <w:pStyle w:val="Sansinterligne"/>
                    <w:framePr w:hSpace="141" w:wrap="around" w:vAnchor="page" w:hAnchor="margin" w:xAlign="center" w:y="556"/>
                    <w:jc w:val="center"/>
                    <w:rPr>
                      <w:noProof/>
                      <w:u w:val="single"/>
                      <w:lang w:val="fr-FR" w:eastAsia="fr-FR"/>
                    </w:rPr>
                  </w:pPr>
                  <w:r w:rsidRPr="003C77A9">
                    <w:rPr>
                      <w:rFonts w:hint="cs"/>
                      <w:noProof/>
                      <w:u w:val="single"/>
                      <w:rtl/>
                      <w:lang w:val="fr-FR" w:eastAsia="fr-FR"/>
                    </w:rPr>
                    <w:t xml:space="preserve">مصلحة </w:t>
                  </w:r>
                  <w:r>
                    <w:rPr>
                      <w:rFonts w:hint="cs"/>
                      <w:noProof/>
                      <w:u w:val="single"/>
                      <w:rtl/>
                      <w:lang w:val="fr-FR" w:eastAsia="fr-FR"/>
                    </w:rPr>
                    <w:t>شغل الملك العام الجماعي</w:t>
                  </w:r>
                </w:p>
                <w:p w:rsidR="008116E5" w:rsidRDefault="008116E5" w:rsidP="00210A1D">
                  <w:pPr>
                    <w:framePr w:hSpace="141" w:wrap="around" w:vAnchor="page" w:hAnchor="margin" w:xAlign="center" w:y="556"/>
                    <w:tabs>
                      <w:tab w:val="left" w:pos="10800"/>
                    </w:tabs>
                    <w:ind w:right="317"/>
                    <w:jc w:val="center"/>
                    <w:rPr>
                      <w:rFonts w:cs="Traditional Arabic"/>
                      <w:b/>
                      <w:bCs/>
                      <w:i/>
                      <w:iCs/>
                      <w:noProof/>
                      <w:u w:val="single"/>
                      <w:lang w:val="fr-FR" w:eastAsia="fr-FR"/>
                    </w:rPr>
                  </w:pPr>
                  <w:r w:rsidRPr="00D420C8"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إعلان رقم </w:t>
                  </w:r>
                  <w:r w:rsidR="000D4455">
                    <w:rPr>
                      <w:rFonts w:cs="Traditional Arabic" w:hint="cs"/>
                      <w:i/>
                      <w:iCs/>
                      <w:sz w:val="28"/>
                      <w:szCs w:val="28"/>
                      <w:u w:val="single"/>
                      <w:rtl/>
                      <w:lang w:bidi="ar-MA"/>
                    </w:rPr>
                    <w:t>05/2017</w:t>
                  </w:r>
                  <w:r w:rsidRPr="00116F9E"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MA"/>
                    </w:rPr>
                    <w:t xml:space="preserve"> </w:t>
                  </w:r>
                  <w:r w:rsidRPr="00D420C8"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MA"/>
                    </w:rPr>
                    <w:t>ق.ت.م</w:t>
                  </w:r>
                </w:p>
                <w:p w:rsidR="008116E5" w:rsidRPr="00F57C9C" w:rsidRDefault="008116E5" w:rsidP="00210A1D">
                  <w:pPr>
                    <w:framePr w:hSpace="141" w:wrap="around" w:vAnchor="page" w:hAnchor="margin" w:xAlign="center" w:y="556"/>
                    <w:tabs>
                      <w:tab w:val="left" w:pos="10800"/>
                    </w:tabs>
                    <w:ind w:right="317"/>
                    <w:rPr>
                      <w:rFonts w:cs="Traditional Arabic"/>
                      <w:noProof/>
                      <w:rtl/>
                      <w:lang w:val="fr-FR" w:eastAsia="fr-FR" w:bidi="ar-MA"/>
                    </w:rPr>
                  </w:pPr>
                </w:p>
              </w:tc>
            </w:tr>
          </w:tbl>
          <w:p w:rsidR="00D976EB" w:rsidRPr="00E86CF3" w:rsidRDefault="00D976EB" w:rsidP="0014781F">
            <w:pPr>
              <w:jc w:val="center"/>
              <w:rPr>
                <w:rStyle w:val="Accentuation"/>
                <w:u w:val="single"/>
              </w:rPr>
            </w:pPr>
          </w:p>
        </w:tc>
      </w:tr>
    </w:tbl>
    <w:p w:rsidR="004B3AB7" w:rsidRPr="00353ED4" w:rsidRDefault="004B3AB7" w:rsidP="008116E5">
      <w:pPr>
        <w:ind w:left="-426" w:firstLine="504"/>
        <w:jc w:val="center"/>
        <w:rPr>
          <w:rFonts w:cs="Traditional Arabic"/>
          <w:b/>
          <w:bCs/>
          <w:i/>
          <w:iCs/>
          <w:sz w:val="48"/>
          <w:szCs w:val="48"/>
          <w:u w:val="single"/>
          <w:rtl/>
          <w:lang w:bidi="ar-MA"/>
        </w:rPr>
      </w:pPr>
      <w:proofErr w:type="gramStart"/>
      <w:r w:rsidRPr="00353ED4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MA"/>
        </w:rPr>
        <w:t>إعـــلان</w:t>
      </w:r>
      <w:proofErr w:type="gramEnd"/>
      <w:r w:rsidRPr="00353ED4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MA"/>
        </w:rPr>
        <w:t xml:space="preserve"> للعمــوم</w:t>
      </w:r>
    </w:p>
    <w:p w:rsidR="004B3AB7" w:rsidRPr="00052BCC" w:rsidRDefault="00DA33A1" w:rsidP="00210A1D">
      <w:pPr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ي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علن رئي</w:t>
      </w: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س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المجلس الجماعي لمدينة مراكش أ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نه سيتم بقاعة الاجتماعات الكبرى بالقصر البلدي الكائن بشارع محمد </w:t>
      </w:r>
      <w:r w:rsidR="007E6322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السادس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فتح الأظرفة المتعلقة بكراء 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محطات</w:t>
      </w: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وقوف السيارات والدراجات العادية والنارية</w:t>
      </w: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</w:t>
      </w:r>
      <w:r w:rsidR="00F7723C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المتواجدة بالنفوذ الترابي </w:t>
      </w:r>
      <w:r w:rsidR="000D4455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لجماعة </w:t>
      </w:r>
      <w:r w:rsidR="00F7723C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مراكش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برسم 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ال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سنة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المالية</w:t>
      </w: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</w:t>
      </w:r>
      <w:r w:rsidR="008116E5">
        <w:rPr>
          <w:rFonts w:cs="Traditional Arabic"/>
          <w:b/>
          <w:bCs/>
          <w:i/>
          <w:iCs/>
          <w:sz w:val="28"/>
          <w:szCs w:val="28"/>
          <w:lang w:bidi="ar-MA"/>
        </w:rPr>
        <w:t>2017</w:t>
      </w: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وذلك يوم </w:t>
      </w:r>
      <w:proofErr w:type="spellStart"/>
      <w:r w:rsidR="00210A1D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الاربعاء</w:t>
      </w:r>
      <w:proofErr w:type="spellEnd"/>
      <w:r w:rsidR="00D17DA3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</w:t>
      </w:r>
      <w:r w:rsidR="00210A1D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01/03/2017 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على</w:t>
      </w:r>
      <w:r w:rsidR="00E85EF1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الساعة العاشرة صباحا 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ويمكن سحب كناش التحملات من </w:t>
      </w:r>
      <w:r w:rsidR="00095854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مصلحة تدبير الممتلكات الجماعية.</w:t>
      </w:r>
    </w:p>
    <w:p w:rsidR="004B3AB7" w:rsidRPr="00052BCC" w:rsidRDefault="002858DC" w:rsidP="00095854">
      <w:pPr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proofErr w:type="gramStart"/>
      <w:r w:rsidRPr="002858D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كما</w:t>
      </w:r>
      <w:proofErr w:type="gramEnd"/>
      <w:r w:rsidRPr="002858D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يجب أن تكون ملفات المشاركين مطابقة لمقتضيات المرسوم عدد</w:t>
      </w:r>
      <w:r w:rsidRPr="002858DC">
        <w:rPr>
          <w:rFonts w:cs="Traditional Arabic"/>
          <w:b/>
          <w:bCs/>
          <w:i/>
          <w:iCs/>
          <w:sz w:val="28"/>
          <w:szCs w:val="28"/>
          <w:lang w:bidi="ar-MA"/>
        </w:rPr>
        <w:t>2.12.349</w:t>
      </w:r>
      <w:r w:rsidRPr="002858D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الصادر في 08 جمادى الأولى 1434 الموافق 20 مارس 2013 الخاص بتحديد شروط وأشكال صفقات الدولة وكدا بعض المقتضيات المتعلقة بمراقبتها وتدبيرها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.</w:t>
      </w:r>
    </w:p>
    <w:p w:rsidR="004B3AB7" w:rsidRPr="00052BCC" w:rsidRDefault="004B3AB7" w:rsidP="004B3AB7">
      <w:pPr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     -   </w:t>
      </w:r>
      <w:r w:rsidR="00052BCC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إ</w:t>
      </w: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ما إيداع أظرفتهم مقابل وصل بمصلحة تدبير الممتلكات الجماعية .</w:t>
      </w:r>
    </w:p>
    <w:p w:rsidR="004B3AB7" w:rsidRPr="00052BCC" w:rsidRDefault="00052BCC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إ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ما إرسالها عن طريق البريد المضمون بإفادة بالاستلام إلى المكتب </w:t>
      </w:r>
      <w:proofErr w:type="gramStart"/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المذكور .</w:t>
      </w:r>
      <w:proofErr w:type="gramEnd"/>
    </w:p>
    <w:p w:rsidR="004B3AB7" w:rsidRPr="00052BCC" w:rsidRDefault="00052BCC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إ</w:t>
      </w:r>
      <w:r w:rsidR="004B3AB7"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ما تسليمها مباشرة لرئيس لجنة القبول عند بداية الجلسة وقبل فتح الأظرفة .</w:t>
      </w:r>
    </w:p>
    <w:p w:rsidR="004B3AB7" w:rsidRPr="00052BCC" w:rsidRDefault="004B3AB7" w:rsidP="004B3AB7">
      <w:pPr>
        <w:jc w:val="both"/>
        <w:rPr>
          <w:rFonts w:cs="Traditional Arabic"/>
          <w:b/>
          <w:bCs/>
          <w:i/>
          <w:iCs/>
          <w:sz w:val="28"/>
          <w:szCs w:val="28"/>
          <w:u w:val="single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الوثائق المثبتة الواجب الإدلاء بها وفق الشروط </w:t>
      </w:r>
      <w:proofErr w:type="gramStart"/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>التالية :</w:t>
      </w:r>
      <w:proofErr w:type="gramEnd"/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u w:val="single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1 </w:t>
      </w:r>
      <w:r w:rsidRPr="00052BCC">
        <w:rPr>
          <w:rFonts w:cs="Traditional Arabic"/>
          <w:b/>
          <w:bCs/>
          <w:i/>
          <w:iCs/>
          <w:sz w:val="28"/>
          <w:szCs w:val="28"/>
          <w:u w:val="single"/>
          <w:rtl/>
          <w:lang w:bidi="ar-MA"/>
        </w:rPr>
        <w:t>–</w:t>
      </w:r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 الغلاف </w:t>
      </w:r>
      <w:proofErr w:type="gramStart"/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>الأول :</w:t>
      </w:r>
      <w:proofErr w:type="gramEnd"/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 ويتضمن :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هوية المتقدم بعرض الأثمان والوثائق المثبتة لذلك ( شخص </w:t>
      </w:r>
      <w:proofErr w:type="gramStart"/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ذاتي</w:t>
      </w:r>
      <w:proofErr w:type="gramEnd"/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أو معنوي ) 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مذكرة الوسائل البشرية .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التصريح بالشرف .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شهادة تثبت الوضعية الجبائية للمعني بالأمر تقل مدتها عن سنة .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وصل </w:t>
      </w:r>
      <w:proofErr w:type="gramStart"/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لضمانة</w:t>
      </w:r>
      <w:proofErr w:type="gramEnd"/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مالية قدرها 30.000 درهم .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شهادة القيد بالسجل التجاري .</w:t>
      </w:r>
    </w:p>
    <w:p w:rsidR="004B3AB7" w:rsidRPr="00052BCC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شهادة مسلمة اقل من سنة من الصندوق الوطني للضمان الاجتماعي .</w:t>
      </w:r>
    </w:p>
    <w:p w:rsidR="004B3AB7" w:rsidRDefault="004B3AB7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كناش التحملات موقع ومصادق عليه من طرف المشارك .</w:t>
      </w:r>
    </w:p>
    <w:p w:rsidR="00353ED4" w:rsidRPr="00052BCC" w:rsidRDefault="00353ED4" w:rsidP="004B3AB7">
      <w:pPr>
        <w:numPr>
          <w:ilvl w:val="0"/>
          <w:numId w:val="1"/>
        </w:numPr>
        <w:jc w:val="both"/>
        <w:rPr>
          <w:rFonts w:cs="Traditional Arabic"/>
          <w:b/>
          <w:bCs/>
          <w:i/>
          <w:iCs/>
          <w:sz w:val="28"/>
          <w:szCs w:val="28"/>
          <w:lang w:bidi="ar-MA"/>
        </w:rPr>
      </w:pPr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التزام مصحح الإمضاء يتضمن </w:t>
      </w:r>
      <w:proofErr w:type="spellStart"/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اشهاد</w:t>
      </w:r>
      <w:proofErr w:type="spellEnd"/>
      <w:r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بإطلاع المعني بالأمر على حدود المحطات المكتراة طبقا للتصاميم الجزئية المحملة بالقرص المدمج المسلم و المنشور بالبوابة الالكترونية للجماعة .</w:t>
      </w:r>
    </w:p>
    <w:p w:rsidR="004B3AB7" w:rsidRPr="00052BCC" w:rsidRDefault="004B3AB7" w:rsidP="004B3AB7">
      <w:pPr>
        <w:jc w:val="both"/>
        <w:rPr>
          <w:rFonts w:cs="Traditional Arabic"/>
          <w:b/>
          <w:bCs/>
          <w:i/>
          <w:iCs/>
          <w:sz w:val="28"/>
          <w:szCs w:val="28"/>
          <w:u w:val="single"/>
          <w:rtl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2</w:t>
      </w:r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- الغلاف </w:t>
      </w:r>
      <w:proofErr w:type="gramStart"/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>الثاني :</w:t>
      </w:r>
      <w:proofErr w:type="gramEnd"/>
      <w:r w:rsidRPr="00052BCC">
        <w:rPr>
          <w:rFonts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 ويتضمن :</w:t>
      </w:r>
    </w:p>
    <w:p w:rsidR="004B3AB7" w:rsidRPr="00052BCC" w:rsidRDefault="004B3AB7" w:rsidP="004B3AB7">
      <w:pPr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الواجب السنوي المقترح من طرف المشارك بالنسبة لكل </w:t>
      </w:r>
      <w:proofErr w:type="gramStart"/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محطة</w:t>
      </w:r>
      <w:proofErr w:type="gramEnd"/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على حدة، مع </w:t>
      </w:r>
      <w:r w:rsidR="00024E10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الإشارة إلى نوعيتها ( السيارات أ</w:t>
      </w: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و الدراجا</w:t>
      </w:r>
      <w:r w:rsidRPr="00052BCC">
        <w:rPr>
          <w:rFonts w:cs="Traditional Arabic" w:hint="eastAsia"/>
          <w:b/>
          <w:bCs/>
          <w:i/>
          <w:iCs/>
          <w:sz w:val="28"/>
          <w:szCs w:val="28"/>
          <w:rtl/>
          <w:lang w:bidi="ar-MA"/>
        </w:rPr>
        <w:t>ت</w:t>
      </w: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النارية و العادية ) </w:t>
      </w:r>
    </w:p>
    <w:p w:rsidR="004B3AB7" w:rsidRPr="00052BCC" w:rsidRDefault="004B3AB7" w:rsidP="00015463">
      <w:pPr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شيك مضمون مسجل باسم الخازن ال</w:t>
      </w:r>
      <w:r w:rsidR="00015463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اقليمي</w:t>
      </w: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 xml:space="preserve"> لمدينة مراكش يتضمن الواجب المتعلق بكل حصة .</w:t>
      </w:r>
    </w:p>
    <w:p w:rsidR="004B3AB7" w:rsidRPr="00052BCC" w:rsidRDefault="004B3AB7" w:rsidP="004B3AB7">
      <w:pPr>
        <w:ind w:left="6372" w:firstLine="708"/>
        <w:jc w:val="both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 w:rsidRPr="00052BCC">
        <w:rPr>
          <w:rFonts w:cs="Traditional Arabic" w:hint="cs"/>
          <w:b/>
          <w:bCs/>
          <w:i/>
          <w:iCs/>
          <w:sz w:val="28"/>
          <w:szCs w:val="28"/>
          <w:rtl/>
          <w:lang w:bidi="ar-MA"/>
        </w:rPr>
        <w:t>مراكش في : ...................</w:t>
      </w:r>
    </w:p>
    <w:p w:rsidR="004B3AB7" w:rsidRDefault="008116E5" w:rsidP="008116E5">
      <w:pPr>
        <w:ind w:left="5664" w:firstLine="708"/>
        <w:jc w:val="center"/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  <w:lang w:bidi="ar-MA"/>
        </w:rPr>
        <w:t xml:space="preserve">    </w:t>
      </w:r>
      <w:r w:rsidR="00DA33A1" w:rsidRPr="008116E5">
        <w:rPr>
          <w:rFonts w:cs="Traditional Arabic" w:hint="cs"/>
          <w:b/>
          <w:bCs/>
          <w:i/>
          <w:iCs/>
          <w:sz w:val="32"/>
          <w:szCs w:val="32"/>
          <w:rtl/>
          <w:lang w:bidi="ar-MA"/>
        </w:rPr>
        <w:t>رئيس</w:t>
      </w:r>
      <w:r w:rsidRPr="008116E5">
        <w:rPr>
          <w:rFonts w:cs="Traditional Arabic" w:hint="cs"/>
          <w:b/>
          <w:bCs/>
          <w:i/>
          <w:iCs/>
          <w:sz w:val="32"/>
          <w:szCs w:val="32"/>
          <w:rtl/>
          <w:lang w:bidi="ar-MA"/>
        </w:rPr>
        <w:t xml:space="preserve"> جماعة</w:t>
      </w:r>
      <w:r w:rsidR="004B3AB7" w:rsidRPr="008116E5">
        <w:rPr>
          <w:rFonts w:cs="Traditional Arabic" w:hint="cs"/>
          <w:b/>
          <w:bCs/>
          <w:i/>
          <w:iCs/>
          <w:sz w:val="32"/>
          <w:szCs w:val="32"/>
          <w:rtl/>
          <w:lang w:bidi="ar-MA"/>
        </w:rPr>
        <w:t xml:space="preserve"> مراكش</w:t>
      </w:r>
    </w:p>
    <w:p w:rsidR="00353ED4" w:rsidRDefault="00353ED4" w:rsidP="008116E5">
      <w:pPr>
        <w:rPr>
          <w:rFonts w:cs="Traditional Arabic"/>
          <w:b/>
          <w:bCs/>
          <w:i/>
          <w:iCs/>
          <w:sz w:val="28"/>
          <w:szCs w:val="28"/>
          <w:rtl/>
          <w:lang w:bidi="ar-MA"/>
        </w:rPr>
      </w:pPr>
    </w:p>
    <w:sectPr w:rsidR="00353ED4" w:rsidSect="00353ED4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0F49"/>
    <w:multiLevelType w:val="hybridMultilevel"/>
    <w:tmpl w:val="87263C20"/>
    <w:lvl w:ilvl="0" w:tplc="62968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AB7"/>
    <w:rsid w:val="00015463"/>
    <w:rsid w:val="00024E10"/>
    <w:rsid w:val="00037BCC"/>
    <w:rsid w:val="0004629E"/>
    <w:rsid w:val="00052BCC"/>
    <w:rsid w:val="00095854"/>
    <w:rsid w:val="000D4455"/>
    <w:rsid w:val="000D6A09"/>
    <w:rsid w:val="000E197F"/>
    <w:rsid w:val="000F2D75"/>
    <w:rsid w:val="00105FC1"/>
    <w:rsid w:val="00116F9E"/>
    <w:rsid w:val="001752EC"/>
    <w:rsid w:val="001D4F0B"/>
    <w:rsid w:val="00210648"/>
    <w:rsid w:val="00210A1D"/>
    <w:rsid w:val="002858DC"/>
    <w:rsid w:val="0029460F"/>
    <w:rsid w:val="002D0A63"/>
    <w:rsid w:val="003107D7"/>
    <w:rsid w:val="00353ED4"/>
    <w:rsid w:val="00382F31"/>
    <w:rsid w:val="003A7D2F"/>
    <w:rsid w:val="0042306E"/>
    <w:rsid w:val="004326ED"/>
    <w:rsid w:val="00453DD4"/>
    <w:rsid w:val="004824C4"/>
    <w:rsid w:val="004B3AB7"/>
    <w:rsid w:val="004C3DAC"/>
    <w:rsid w:val="004D6345"/>
    <w:rsid w:val="00581C9B"/>
    <w:rsid w:val="005D53C0"/>
    <w:rsid w:val="00605E6A"/>
    <w:rsid w:val="00675314"/>
    <w:rsid w:val="006777C2"/>
    <w:rsid w:val="006F2B67"/>
    <w:rsid w:val="006F6B52"/>
    <w:rsid w:val="0072010C"/>
    <w:rsid w:val="0078168D"/>
    <w:rsid w:val="00783DC8"/>
    <w:rsid w:val="007E6322"/>
    <w:rsid w:val="007F022E"/>
    <w:rsid w:val="007F5B43"/>
    <w:rsid w:val="008116E5"/>
    <w:rsid w:val="00834387"/>
    <w:rsid w:val="008658B9"/>
    <w:rsid w:val="0086707C"/>
    <w:rsid w:val="00875983"/>
    <w:rsid w:val="008D6B3A"/>
    <w:rsid w:val="00922224"/>
    <w:rsid w:val="009475FB"/>
    <w:rsid w:val="00A90492"/>
    <w:rsid w:val="00B709BE"/>
    <w:rsid w:val="00BB6220"/>
    <w:rsid w:val="00BC6C67"/>
    <w:rsid w:val="00C039EC"/>
    <w:rsid w:val="00C2105D"/>
    <w:rsid w:val="00CC22AD"/>
    <w:rsid w:val="00D17DA3"/>
    <w:rsid w:val="00D26694"/>
    <w:rsid w:val="00D420C8"/>
    <w:rsid w:val="00D7648D"/>
    <w:rsid w:val="00D976EB"/>
    <w:rsid w:val="00DA33A1"/>
    <w:rsid w:val="00DC7A78"/>
    <w:rsid w:val="00E85EF1"/>
    <w:rsid w:val="00EA1BE0"/>
    <w:rsid w:val="00F006C6"/>
    <w:rsid w:val="00F31134"/>
    <w:rsid w:val="00F7723C"/>
    <w:rsid w:val="00F9495B"/>
    <w:rsid w:val="00FE2188"/>
    <w:rsid w:val="00FF51C2"/>
    <w:rsid w:val="00FF6F24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976EB"/>
    <w:rPr>
      <w:i/>
      <w:iCs/>
    </w:rPr>
  </w:style>
  <w:style w:type="paragraph" w:styleId="Sansinterligne">
    <w:name w:val="No Spacing"/>
    <w:uiPriority w:val="1"/>
    <w:qFormat/>
    <w:rsid w:val="008116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azer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</dc:creator>
  <cp:keywords/>
  <dc:description/>
  <cp:lastModifiedBy>SWEET</cp:lastModifiedBy>
  <cp:revision>4</cp:revision>
  <cp:lastPrinted>2006-12-24T23:40:00Z</cp:lastPrinted>
  <dcterms:created xsi:type="dcterms:W3CDTF">2006-12-24T23:05:00Z</dcterms:created>
  <dcterms:modified xsi:type="dcterms:W3CDTF">2006-12-24T23:41:00Z</dcterms:modified>
</cp:coreProperties>
</file>